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ook w:val="00BF"/>
      </w:tblPr>
      <w:tblGrid>
        <w:gridCol w:w="2160"/>
        <w:gridCol w:w="8100"/>
      </w:tblGrid>
      <w:tr w:rsidR="00A148FF" w:rsidRPr="00B80FC3" w:rsidTr="00BD634C">
        <w:tc>
          <w:tcPr>
            <w:tcW w:w="2160" w:type="dxa"/>
          </w:tcPr>
          <w:p w:rsidR="00A148FF" w:rsidRPr="00B80FC3" w:rsidRDefault="00380D9E" w:rsidP="004A4A28">
            <w:pPr>
              <w:rPr>
                <w:rFonts w:ascii="Verdana" w:hAnsi="Verdana"/>
                <w:color w:val="333399"/>
                <w:lang w:val="es-ES_tradnl"/>
              </w:rPr>
            </w:pPr>
            <w:r w:rsidRPr="00380D9E">
              <w:rPr>
                <w:rFonts w:ascii="Verdana" w:hAnsi="Verdana"/>
                <w:color w:val="333399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35pt;height:67.45pt">
                  <v:imagedata r:id="rId7" o:title=""/>
                </v:shape>
              </w:pict>
            </w:r>
          </w:p>
        </w:tc>
        <w:tc>
          <w:tcPr>
            <w:tcW w:w="8100" w:type="dxa"/>
          </w:tcPr>
          <w:p w:rsidR="00A148FF" w:rsidRPr="00B80FC3" w:rsidRDefault="00A148FF" w:rsidP="00BD634C">
            <w:pPr>
              <w:pStyle w:val="Encabezado"/>
              <w:ind w:left="-72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Reunión del Consejo del Departamento de </w:t>
            </w:r>
          </w:p>
          <w:p w:rsidR="00A148FF" w:rsidRPr="00B80FC3" w:rsidRDefault="00A148FF" w:rsidP="00BD634C">
            <w:pPr>
              <w:pStyle w:val="Encabezado"/>
              <w:tabs>
                <w:tab w:val="left" w:pos="180"/>
              </w:tabs>
              <w:ind w:left="-360" w:firstLine="36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Filología Griega, Estudios Árabes, Lingüística General y Documentación</w:t>
            </w:r>
          </w:p>
          <w:p w:rsidR="00A148FF" w:rsidRPr="00B80FC3" w:rsidRDefault="00380D9E" w:rsidP="00BD634C">
            <w:pPr>
              <w:pStyle w:val="Encabezado"/>
              <w:jc w:val="right"/>
              <w:rPr>
                <w:rFonts w:ascii="Verdana" w:hAnsi="Verdana"/>
                <w:color w:val="333399"/>
                <w:sz w:val="20"/>
                <w:szCs w:val="20"/>
                <w:lang w:val="es-ES_tradnl"/>
              </w:rPr>
            </w:pPr>
            <w:r w:rsidRPr="00380D9E">
              <w:rPr>
                <w:noProof/>
                <w:lang w:val="es-ES_tradnl" w:eastAsia="es-ES_tradnl"/>
              </w:rPr>
              <w:pict>
                <v:line id="_x0000_s1026" style="position:absolute;left:0;text-align:left;flip:x y;z-index:1" from="-5.4pt,8.05pt" to="354.6pt,8.55pt" strokecolor="green" strokeweight="1.5pt"/>
              </w:pict>
            </w:r>
          </w:p>
          <w:p w:rsidR="00A148FF" w:rsidRPr="00B80FC3" w:rsidRDefault="007049C0" w:rsidP="00BD634C">
            <w:pPr>
              <w:pStyle w:val="Encabezado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Extrao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rdinaria</w:t>
            </w:r>
          </w:p>
          <w:p w:rsidR="00A148FF" w:rsidRPr="00B80FC3" w:rsidRDefault="007049C0" w:rsidP="00BD634C">
            <w:pPr>
              <w:pStyle w:val="Encabezado"/>
              <w:jc w:val="right"/>
              <w:rPr>
                <w:rFonts w:ascii="Verdana" w:hAnsi="Verdana"/>
                <w:b/>
                <w:i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25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 de junio de 201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2</w:t>
            </w:r>
          </w:p>
          <w:p w:rsidR="00A148FF" w:rsidRPr="00B80FC3" w:rsidRDefault="00A148FF" w:rsidP="004A4A28">
            <w:pPr>
              <w:rPr>
                <w:rFonts w:ascii="Verdana" w:hAnsi="Verdana"/>
                <w:color w:val="333399"/>
                <w:lang w:val="es-ES_tradnl"/>
              </w:rPr>
            </w:pPr>
          </w:p>
        </w:tc>
      </w:tr>
    </w:tbl>
    <w:p w:rsidR="00A148FF" w:rsidRPr="00B80FC3" w:rsidRDefault="00A148FF" w:rsidP="004E3478">
      <w:pPr>
        <w:rPr>
          <w:rFonts w:ascii="Verdana" w:hAnsi="Verdana"/>
          <w:color w:val="333399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El Consejo del Departamento de Filología Griega, Estudios Árabes, Lingüística General y Documentación, se reúne en 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 xml:space="preserve">sesión </w:t>
      </w:r>
      <w:r w:rsidR="007049C0">
        <w:rPr>
          <w:rFonts w:ascii="Verdana" w:hAnsi="Verdana"/>
          <w:b/>
          <w:color w:val="333399"/>
          <w:sz w:val="20"/>
          <w:szCs w:val="20"/>
          <w:lang w:val="es-ES_tradnl"/>
        </w:rPr>
        <w:t>extra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>ordinaria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lunes, día 25 de junio de 2012, a las 11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:30 en segunda convocatoria. Preside la Reunión la Directora del Departamento, Dª Mª Antonia Martínez Núñez, y levanta Acta el Secretario del mismo. La relación de asistentes, así como de quienes han excusado su asistencia, figura en la documentación adjunta.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="007049C0">
        <w:rPr>
          <w:rFonts w:ascii="Verdana" w:hAnsi="Verdana"/>
          <w:b/>
          <w:color w:val="333399"/>
          <w:lang w:val="es-ES_tradnl"/>
        </w:rPr>
        <w:t>ÚNICO</w:t>
      </w:r>
      <w:r w:rsidRPr="00B80FC3">
        <w:rPr>
          <w:rFonts w:ascii="Verdana" w:hAnsi="Verdana"/>
          <w:b/>
          <w:color w:val="333399"/>
          <w:lang w:val="es-ES_tradnl"/>
        </w:rPr>
        <w:t xml:space="preserve"> </w:t>
      </w:r>
      <w:r w:rsidRPr="00B80FC3">
        <w:rPr>
          <w:rFonts w:ascii="Verdana" w:hAnsi="Verdana"/>
          <w:color w:val="333399"/>
          <w:lang w:val="es-ES_tradnl"/>
        </w:rPr>
        <w:t>DEL ORDEN DEL DÍA: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6C667F">
      <w:pPr>
        <w:spacing w:line="24" w:lineRule="atLeast"/>
        <w:ind w:left="720" w:hanging="12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Informes sobre 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la </w:t>
      </w: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prórroga de 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los contratos de profesores asociados del Departamento para el curso académico 2012-2013</w:t>
      </w:r>
      <w:r w:rsidRPr="00B80FC3">
        <w:rPr>
          <w:rFonts w:ascii="Verdana" w:hAnsi="Verdana"/>
          <w:b/>
          <w:bCs/>
          <w:color w:val="333399"/>
          <w:sz w:val="20"/>
          <w:szCs w:val="20"/>
        </w:rPr>
        <w:t>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La Directora explica que,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como cada año,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Pr="00B80FC3">
        <w:rPr>
          <w:rFonts w:ascii="Verdana" w:hAnsi="Verdana"/>
          <w:color w:val="333399"/>
          <w:sz w:val="20"/>
          <w:szCs w:val="20"/>
        </w:rPr>
        <w:t xml:space="preserve">Vicerrectorado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de Profesorado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solicita que se le envíen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antes del 30 de junio los informes preceptivos e individuales sobre </w:t>
      </w:r>
      <w:r w:rsidRPr="00B80FC3">
        <w:rPr>
          <w:rFonts w:ascii="Verdana" w:hAnsi="Verdana"/>
          <w:bCs/>
          <w:color w:val="333399"/>
          <w:sz w:val="20"/>
          <w:szCs w:val="20"/>
          <w:lang w:val="es-ES_tradnl"/>
        </w:rPr>
        <w:t>la prórroga del personal docente contratado</w:t>
      </w: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del Dpto. En nuestro caso, los Profesores contratados son tres Profesores Asociados, dos en el Área de Biblioteconomía y Documentación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(</w:t>
      </w:r>
      <w:r w:rsidR="007049C0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Dña. Concepción María Jiménez Fernández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y</w:t>
      </w:r>
      <w:r w:rsidR="007049C0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D. José Pino Díaz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 xml:space="preserve">)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y uno en la de Lingüística General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 xml:space="preserve"> (</w:t>
      </w:r>
      <w:r w:rsidR="007049C0" w:rsidRPr="00B80FC3">
        <w:rPr>
          <w:rFonts w:ascii="Verdana" w:hAnsi="Verdana"/>
          <w:color w:val="333399"/>
          <w:sz w:val="20"/>
          <w:szCs w:val="20"/>
          <w:lang w:val="es-ES_tradnl"/>
        </w:rPr>
        <w:t>Dña. Matilde Vida Castro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)</w:t>
      </w:r>
      <w:r w:rsidRPr="00B80FC3">
        <w:rPr>
          <w:rFonts w:ascii="Verdana" w:hAnsi="Verdana"/>
          <w:color w:val="333399"/>
          <w:sz w:val="20"/>
          <w:szCs w:val="20"/>
        </w:rPr>
        <w:t>.</w:t>
      </w: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7049C0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La Directora se refiere a los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informe</w:t>
      </w:r>
      <w:r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individual</w:t>
      </w:r>
      <w:r>
        <w:rPr>
          <w:rFonts w:ascii="Verdana" w:hAnsi="Verdana"/>
          <w:color w:val="333399"/>
          <w:sz w:val="20"/>
          <w:szCs w:val="20"/>
          <w:lang w:val="es-ES_tradnl"/>
        </w:rPr>
        <w:t>es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en </w:t>
      </w:r>
      <w:r>
        <w:rPr>
          <w:rFonts w:ascii="Verdana" w:hAnsi="Verdana"/>
          <w:color w:val="333399"/>
          <w:sz w:val="20"/>
          <w:szCs w:val="20"/>
          <w:lang w:val="es-ES_tradnl"/>
        </w:rPr>
        <w:t>los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que </w:t>
      </w:r>
      <w:r>
        <w:rPr>
          <w:rFonts w:ascii="Verdana" w:hAnsi="Verdana"/>
          <w:color w:val="333399"/>
          <w:sz w:val="20"/>
          <w:szCs w:val="20"/>
          <w:lang w:val="es-ES_tradnl"/>
        </w:rPr>
        <w:t>cada Área ha hecho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constar la doc</w:t>
      </w:r>
      <w:r>
        <w:rPr>
          <w:rFonts w:ascii="Verdana" w:hAnsi="Verdana"/>
          <w:color w:val="333399"/>
          <w:sz w:val="20"/>
          <w:szCs w:val="20"/>
          <w:lang w:val="es-ES_tradnl"/>
        </w:rPr>
        <w:t>encia impartida por el profesor en cuestión en el curso 2011-12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>, la docencia que el pro</w:t>
      </w:r>
      <w:r>
        <w:rPr>
          <w:rFonts w:ascii="Verdana" w:hAnsi="Verdana"/>
          <w:color w:val="333399"/>
          <w:sz w:val="20"/>
          <w:szCs w:val="20"/>
          <w:lang w:val="es-ES_tradnl"/>
        </w:rPr>
        <w:t>fesor impartirá en el curso 2012-13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y otras  actividades desarrolladas en el curso anterior y que desarrollará en el próximo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 xml:space="preserve">, y recuerda a los presentes que, aunque 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>es el Consejo de Dpto. el que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>, a la vista de dichos informes,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debe decidir si solicita que se prorrogue el contrato o no, tal como especifica la normativa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 xml:space="preserve">, sin embargo la última palabra la tiene el </w:t>
      </w:r>
      <w:r w:rsidR="003958C6" w:rsidRPr="00B80FC3">
        <w:rPr>
          <w:rFonts w:ascii="Verdana" w:hAnsi="Verdana"/>
          <w:color w:val="333399"/>
          <w:sz w:val="20"/>
          <w:szCs w:val="20"/>
        </w:rPr>
        <w:t xml:space="preserve">Vicerrectorado </w:t>
      </w:r>
      <w:r w:rsidR="003958C6" w:rsidRPr="00B80FC3">
        <w:rPr>
          <w:rFonts w:ascii="Verdana" w:hAnsi="Verdana"/>
          <w:color w:val="333399"/>
          <w:sz w:val="20"/>
          <w:szCs w:val="20"/>
          <w:lang w:val="es-ES_tradnl"/>
        </w:rPr>
        <w:t>de Profesorado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>, que podría poner impedimentos en función de la carga docente total del Área y de su distribución entre el profesorado correspondiente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148FF" w:rsidRPr="00B80FC3" w:rsidRDefault="00A148FF" w:rsidP="00F550E2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3958C6" w:rsidP="006F4EC3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Tras abrirse un turno de intervenciones, se aprueba por asentimiento </w:t>
      </w:r>
      <w:r>
        <w:rPr>
          <w:rFonts w:ascii="Verdana" w:hAnsi="Verdana"/>
          <w:color w:val="333399"/>
          <w:sz w:val="20"/>
          <w:szCs w:val="20"/>
        </w:rPr>
        <w:t>emitir informes individuales muy favorables sobre la prórroga de los contratos de Profesores Asociados del Departamento para el curso académico 2012-2013.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Y no habiendo ningún tema más que tratar, se levanta la sesión.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De todo lo anterior doy fe como Secretario del Departamento.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Dr. Juan Francisco Martos Montiel</w:t>
      </w:r>
    </w:p>
    <w:sectPr w:rsidR="00A148FF" w:rsidRPr="00B80FC3" w:rsidSect="004A4A28">
      <w:pgSz w:w="11906" w:h="16838"/>
      <w:pgMar w:top="719" w:right="1701" w:bottom="1417" w:left="1260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6C" w:rsidRDefault="00BE116C">
      <w:r>
        <w:separator/>
      </w:r>
    </w:p>
  </w:endnote>
  <w:endnote w:type="continuationSeparator" w:id="1">
    <w:p w:rsidR="00BE116C" w:rsidRDefault="00BE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6C" w:rsidRDefault="00BE116C">
      <w:r>
        <w:separator/>
      </w:r>
    </w:p>
  </w:footnote>
  <w:footnote w:type="continuationSeparator" w:id="1">
    <w:p w:rsidR="00BE116C" w:rsidRDefault="00BE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421F"/>
    <w:multiLevelType w:val="hybridMultilevel"/>
    <w:tmpl w:val="757209D6"/>
    <w:lvl w:ilvl="0" w:tplc="D4B00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369C8"/>
    <w:multiLevelType w:val="hybridMultilevel"/>
    <w:tmpl w:val="C8727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55906"/>
    <w:multiLevelType w:val="hybridMultilevel"/>
    <w:tmpl w:val="1130B7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027A4"/>
    <w:multiLevelType w:val="hybridMultilevel"/>
    <w:tmpl w:val="7AACB534"/>
    <w:lvl w:ilvl="0" w:tplc="0D1EA1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B6133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95A8B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47835"/>
    <w:multiLevelType w:val="hybridMultilevel"/>
    <w:tmpl w:val="B3A687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183A"/>
    <w:multiLevelType w:val="hybridMultilevel"/>
    <w:tmpl w:val="454E0C8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BA6460"/>
    <w:multiLevelType w:val="hybridMultilevel"/>
    <w:tmpl w:val="EC4A54EA"/>
    <w:lvl w:ilvl="0" w:tplc="04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9D96E43"/>
    <w:multiLevelType w:val="hybridMultilevel"/>
    <w:tmpl w:val="95E2642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670D6"/>
    <w:multiLevelType w:val="hybridMultilevel"/>
    <w:tmpl w:val="F5B23E7A"/>
    <w:lvl w:ilvl="0" w:tplc="5CF479BE">
      <w:start w:val="1"/>
      <w:numFmt w:val="upperLetter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78"/>
    <w:rsid w:val="000022B2"/>
    <w:rsid w:val="00004B38"/>
    <w:rsid w:val="00007490"/>
    <w:rsid w:val="0000799C"/>
    <w:rsid w:val="00007DE0"/>
    <w:rsid w:val="00016186"/>
    <w:rsid w:val="00016991"/>
    <w:rsid w:val="000200A9"/>
    <w:rsid w:val="0004448F"/>
    <w:rsid w:val="000551D3"/>
    <w:rsid w:val="000569CE"/>
    <w:rsid w:val="00060BA7"/>
    <w:rsid w:val="000618B3"/>
    <w:rsid w:val="0006301B"/>
    <w:rsid w:val="00063243"/>
    <w:rsid w:val="000644A6"/>
    <w:rsid w:val="000743B8"/>
    <w:rsid w:val="00077BFB"/>
    <w:rsid w:val="00077F58"/>
    <w:rsid w:val="0008102A"/>
    <w:rsid w:val="000817F8"/>
    <w:rsid w:val="00081E94"/>
    <w:rsid w:val="00083A39"/>
    <w:rsid w:val="000A2ACE"/>
    <w:rsid w:val="000A5930"/>
    <w:rsid w:val="000B1758"/>
    <w:rsid w:val="000B49CA"/>
    <w:rsid w:val="000B4BF9"/>
    <w:rsid w:val="000B5CBC"/>
    <w:rsid w:val="000C2425"/>
    <w:rsid w:val="000D1939"/>
    <w:rsid w:val="000E1A67"/>
    <w:rsid w:val="000E3680"/>
    <w:rsid w:val="000F3E18"/>
    <w:rsid w:val="000F60AB"/>
    <w:rsid w:val="000F694F"/>
    <w:rsid w:val="00100E40"/>
    <w:rsid w:val="001017F3"/>
    <w:rsid w:val="001031F3"/>
    <w:rsid w:val="00113CCE"/>
    <w:rsid w:val="00133685"/>
    <w:rsid w:val="00134075"/>
    <w:rsid w:val="00134C10"/>
    <w:rsid w:val="00135DBF"/>
    <w:rsid w:val="00137DAD"/>
    <w:rsid w:val="00144A38"/>
    <w:rsid w:val="00145EEE"/>
    <w:rsid w:val="00180A85"/>
    <w:rsid w:val="001834A1"/>
    <w:rsid w:val="0018514C"/>
    <w:rsid w:val="00186CCC"/>
    <w:rsid w:val="001910BF"/>
    <w:rsid w:val="001A2EAB"/>
    <w:rsid w:val="001B4420"/>
    <w:rsid w:val="001B5475"/>
    <w:rsid w:val="001C1532"/>
    <w:rsid w:val="001C2E3F"/>
    <w:rsid w:val="001C3BDF"/>
    <w:rsid w:val="001C448C"/>
    <w:rsid w:val="001C52DB"/>
    <w:rsid w:val="001D1004"/>
    <w:rsid w:val="001E4014"/>
    <w:rsid w:val="001E47DC"/>
    <w:rsid w:val="001F4E0A"/>
    <w:rsid w:val="00206DB1"/>
    <w:rsid w:val="00207B35"/>
    <w:rsid w:val="00214BA4"/>
    <w:rsid w:val="00216AB9"/>
    <w:rsid w:val="00224535"/>
    <w:rsid w:val="002277A4"/>
    <w:rsid w:val="00236FB4"/>
    <w:rsid w:val="00237D78"/>
    <w:rsid w:val="00254915"/>
    <w:rsid w:val="00260796"/>
    <w:rsid w:val="00274CF8"/>
    <w:rsid w:val="00276112"/>
    <w:rsid w:val="00277D32"/>
    <w:rsid w:val="002822EE"/>
    <w:rsid w:val="00283B50"/>
    <w:rsid w:val="002874A8"/>
    <w:rsid w:val="002A6F91"/>
    <w:rsid w:val="002C0F50"/>
    <w:rsid w:val="002D2EFB"/>
    <w:rsid w:val="002D32D0"/>
    <w:rsid w:val="002D3931"/>
    <w:rsid w:val="002D4381"/>
    <w:rsid w:val="002D73CF"/>
    <w:rsid w:val="002E0085"/>
    <w:rsid w:val="002E6136"/>
    <w:rsid w:val="002F0977"/>
    <w:rsid w:val="0030051D"/>
    <w:rsid w:val="00302EEA"/>
    <w:rsid w:val="00305601"/>
    <w:rsid w:val="00313439"/>
    <w:rsid w:val="00314A9B"/>
    <w:rsid w:val="00314E47"/>
    <w:rsid w:val="00315421"/>
    <w:rsid w:val="003179AF"/>
    <w:rsid w:val="003205E7"/>
    <w:rsid w:val="003264CA"/>
    <w:rsid w:val="00326AEE"/>
    <w:rsid w:val="0033420F"/>
    <w:rsid w:val="003344D8"/>
    <w:rsid w:val="00336EC5"/>
    <w:rsid w:val="00342ACC"/>
    <w:rsid w:val="00344B3A"/>
    <w:rsid w:val="00353796"/>
    <w:rsid w:val="0035710C"/>
    <w:rsid w:val="00357F64"/>
    <w:rsid w:val="003628D3"/>
    <w:rsid w:val="00365AB2"/>
    <w:rsid w:val="00371F9E"/>
    <w:rsid w:val="00380D9E"/>
    <w:rsid w:val="00390E28"/>
    <w:rsid w:val="003958C6"/>
    <w:rsid w:val="003A58A0"/>
    <w:rsid w:val="003B6AF1"/>
    <w:rsid w:val="003C2EEA"/>
    <w:rsid w:val="003C7AAE"/>
    <w:rsid w:val="003D3C3C"/>
    <w:rsid w:val="003D66ED"/>
    <w:rsid w:val="003E0D84"/>
    <w:rsid w:val="003F54C9"/>
    <w:rsid w:val="0040596D"/>
    <w:rsid w:val="004166A9"/>
    <w:rsid w:val="00420C91"/>
    <w:rsid w:val="004219A1"/>
    <w:rsid w:val="00423664"/>
    <w:rsid w:val="00435D7C"/>
    <w:rsid w:val="004559FB"/>
    <w:rsid w:val="00462F66"/>
    <w:rsid w:val="00472149"/>
    <w:rsid w:val="0048405A"/>
    <w:rsid w:val="004849F4"/>
    <w:rsid w:val="00490CE4"/>
    <w:rsid w:val="00492A68"/>
    <w:rsid w:val="00494100"/>
    <w:rsid w:val="0049608A"/>
    <w:rsid w:val="004A15B5"/>
    <w:rsid w:val="004A4A28"/>
    <w:rsid w:val="004A5CE2"/>
    <w:rsid w:val="004B21FA"/>
    <w:rsid w:val="004D4CCD"/>
    <w:rsid w:val="004E3478"/>
    <w:rsid w:val="004E7D2C"/>
    <w:rsid w:val="004F27A4"/>
    <w:rsid w:val="004F3E36"/>
    <w:rsid w:val="004F4D74"/>
    <w:rsid w:val="004F5E0D"/>
    <w:rsid w:val="0052300E"/>
    <w:rsid w:val="005306C5"/>
    <w:rsid w:val="00530B48"/>
    <w:rsid w:val="00534F3C"/>
    <w:rsid w:val="00553865"/>
    <w:rsid w:val="005539F7"/>
    <w:rsid w:val="0056201D"/>
    <w:rsid w:val="00571CA3"/>
    <w:rsid w:val="00581F91"/>
    <w:rsid w:val="00583E8F"/>
    <w:rsid w:val="005859B2"/>
    <w:rsid w:val="00586210"/>
    <w:rsid w:val="005B0A82"/>
    <w:rsid w:val="005B3CDF"/>
    <w:rsid w:val="005C54AA"/>
    <w:rsid w:val="005D3E9B"/>
    <w:rsid w:val="005D60F7"/>
    <w:rsid w:val="005D765E"/>
    <w:rsid w:val="005E36F7"/>
    <w:rsid w:val="005E61CD"/>
    <w:rsid w:val="005F61B2"/>
    <w:rsid w:val="0060120E"/>
    <w:rsid w:val="00606B50"/>
    <w:rsid w:val="00611339"/>
    <w:rsid w:val="00641234"/>
    <w:rsid w:val="0064218A"/>
    <w:rsid w:val="006421E6"/>
    <w:rsid w:val="006549F5"/>
    <w:rsid w:val="00657C91"/>
    <w:rsid w:val="00661432"/>
    <w:rsid w:val="006630DA"/>
    <w:rsid w:val="00667341"/>
    <w:rsid w:val="006734A6"/>
    <w:rsid w:val="00674B84"/>
    <w:rsid w:val="00681107"/>
    <w:rsid w:val="00692A06"/>
    <w:rsid w:val="006B0B43"/>
    <w:rsid w:val="006B2CA1"/>
    <w:rsid w:val="006B33B9"/>
    <w:rsid w:val="006C0DCB"/>
    <w:rsid w:val="006C667F"/>
    <w:rsid w:val="006D3BA7"/>
    <w:rsid w:val="006D3FE7"/>
    <w:rsid w:val="006D7948"/>
    <w:rsid w:val="006E22BD"/>
    <w:rsid w:val="006E3076"/>
    <w:rsid w:val="006F00FA"/>
    <w:rsid w:val="006F4EC3"/>
    <w:rsid w:val="006F598B"/>
    <w:rsid w:val="00703DD6"/>
    <w:rsid w:val="007049C0"/>
    <w:rsid w:val="00706D71"/>
    <w:rsid w:val="00720029"/>
    <w:rsid w:val="00726998"/>
    <w:rsid w:val="007568C6"/>
    <w:rsid w:val="00765B24"/>
    <w:rsid w:val="00767BEE"/>
    <w:rsid w:val="00772263"/>
    <w:rsid w:val="007764D0"/>
    <w:rsid w:val="007821A5"/>
    <w:rsid w:val="00782C57"/>
    <w:rsid w:val="00792FFF"/>
    <w:rsid w:val="00793E41"/>
    <w:rsid w:val="007B066A"/>
    <w:rsid w:val="007C4C84"/>
    <w:rsid w:val="007E1843"/>
    <w:rsid w:val="007E1D24"/>
    <w:rsid w:val="007E200A"/>
    <w:rsid w:val="007E2E00"/>
    <w:rsid w:val="007E40EA"/>
    <w:rsid w:val="007E7259"/>
    <w:rsid w:val="007F07A2"/>
    <w:rsid w:val="007F16A8"/>
    <w:rsid w:val="007F567C"/>
    <w:rsid w:val="00801A15"/>
    <w:rsid w:val="00802CA3"/>
    <w:rsid w:val="008046BC"/>
    <w:rsid w:val="0081769C"/>
    <w:rsid w:val="008223DD"/>
    <w:rsid w:val="008227C3"/>
    <w:rsid w:val="008256F8"/>
    <w:rsid w:val="0082733C"/>
    <w:rsid w:val="0083543E"/>
    <w:rsid w:val="00840B16"/>
    <w:rsid w:val="00842535"/>
    <w:rsid w:val="00845169"/>
    <w:rsid w:val="00850767"/>
    <w:rsid w:val="00856F4A"/>
    <w:rsid w:val="00861E18"/>
    <w:rsid w:val="00862A18"/>
    <w:rsid w:val="00875ADE"/>
    <w:rsid w:val="00892FD9"/>
    <w:rsid w:val="0089515A"/>
    <w:rsid w:val="008A243B"/>
    <w:rsid w:val="008B6530"/>
    <w:rsid w:val="008B7ABF"/>
    <w:rsid w:val="008D4864"/>
    <w:rsid w:val="008E343B"/>
    <w:rsid w:val="008F230D"/>
    <w:rsid w:val="008F40AA"/>
    <w:rsid w:val="0090050C"/>
    <w:rsid w:val="00906072"/>
    <w:rsid w:val="00915A6B"/>
    <w:rsid w:val="009160D7"/>
    <w:rsid w:val="00926A1D"/>
    <w:rsid w:val="00931B1D"/>
    <w:rsid w:val="0093407B"/>
    <w:rsid w:val="009463C5"/>
    <w:rsid w:val="00946FC6"/>
    <w:rsid w:val="00947C96"/>
    <w:rsid w:val="0095258E"/>
    <w:rsid w:val="00960227"/>
    <w:rsid w:val="00961126"/>
    <w:rsid w:val="00961670"/>
    <w:rsid w:val="00970E2C"/>
    <w:rsid w:val="00971EE5"/>
    <w:rsid w:val="00973089"/>
    <w:rsid w:val="00984189"/>
    <w:rsid w:val="00987AAD"/>
    <w:rsid w:val="00990553"/>
    <w:rsid w:val="0099113D"/>
    <w:rsid w:val="00993843"/>
    <w:rsid w:val="009A0267"/>
    <w:rsid w:val="009B1C5A"/>
    <w:rsid w:val="009C3873"/>
    <w:rsid w:val="009C7C1F"/>
    <w:rsid w:val="009D1325"/>
    <w:rsid w:val="009E0B16"/>
    <w:rsid w:val="009F47D4"/>
    <w:rsid w:val="00A1453B"/>
    <w:rsid w:val="00A148FF"/>
    <w:rsid w:val="00A3340C"/>
    <w:rsid w:val="00A33464"/>
    <w:rsid w:val="00A4391C"/>
    <w:rsid w:val="00A45830"/>
    <w:rsid w:val="00A461F2"/>
    <w:rsid w:val="00A50F09"/>
    <w:rsid w:val="00A52DB0"/>
    <w:rsid w:val="00A623F7"/>
    <w:rsid w:val="00A62E07"/>
    <w:rsid w:val="00A64A38"/>
    <w:rsid w:val="00A8734F"/>
    <w:rsid w:val="00A9105D"/>
    <w:rsid w:val="00A92344"/>
    <w:rsid w:val="00A9234C"/>
    <w:rsid w:val="00AB10B1"/>
    <w:rsid w:val="00AB181D"/>
    <w:rsid w:val="00AC34B9"/>
    <w:rsid w:val="00AC49CB"/>
    <w:rsid w:val="00AC6146"/>
    <w:rsid w:val="00AC6C9D"/>
    <w:rsid w:val="00AD3AB6"/>
    <w:rsid w:val="00AD61B6"/>
    <w:rsid w:val="00AD6638"/>
    <w:rsid w:val="00AD6F08"/>
    <w:rsid w:val="00AE2398"/>
    <w:rsid w:val="00AE4487"/>
    <w:rsid w:val="00AF692C"/>
    <w:rsid w:val="00AF7E3B"/>
    <w:rsid w:val="00AF7FA0"/>
    <w:rsid w:val="00B0556C"/>
    <w:rsid w:val="00B234D6"/>
    <w:rsid w:val="00B3091B"/>
    <w:rsid w:val="00B31019"/>
    <w:rsid w:val="00B47026"/>
    <w:rsid w:val="00B57D0A"/>
    <w:rsid w:val="00B618D5"/>
    <w:rsid w:val="00B64930"/>
    <w:rsid w:val="00B662FD"/>
    <w:rsid w:val="00B67CFF"/>
    <w:rsid w:val="00B7078A"/>
    <w:rsid w:val="00B771B0"/>
    <w:rsid w:val="00B80FC3"/>
    <w:rsid w:val="00B8195C"/>
    <w:rsid w:val="00B8544D"/>
    <w:rsid w:val="00B965F7"/>
    <w:rsid w:val="00BA2191"/>
    <w:rsid w:val="00BA6F62"/>
    <w:rsid w:val="00BB1D5E"/>
    <w:rsid w:val="00BC26FD"/>
    <w:rsid w:val="00BC769E"/>
    <w:rsid w:val="00BD634C"/>
    <w:rsid w:val="00BE0F2C"/>
    <w:rsid w:val="00BE116C"/>
    <w:rsid w:val="00BE6AF5"/>
    <w:rsid w:val="00BE7D2F"/>
    <w:rsid w:val="00BF2BE9"/>
    <w:rsid w:val="00BF31A0"/>
    <w:rsid w:val="00C007DA"/>
    <w:rsid w:val="00C00828"/>
    <w:rsid w:val="00C023FF"/>
    <w:rsid w:val="00C02F6C"/>
    <w:rsid w:val="00C07B16"/>
    <w:rsid w:val="00C111F9"/>
    <w:rsid w:val="00C13C61"/>
    <w:rsid w:val="00C15B01"/>
    <w:rsid w:val="00C16FF3"/>
    <w:rsid w:val="00C224F4"/>
    <w:rsid w:val="00C27ED3"/>
    <w:rsid w:val="00C34A73"/>
    <w:rsid w:val="00C4228B"/>
    <w:rsid w:val="00C50C90"/>
    <w:rsid w:val="00C51E1D"/>
    <w:rsid w:val="00C57864"/>
    <w:rsid w:val="00C6252D"/>
    <w:rsid w:val="00C74C8D"/>
    <w:rsid w:val="00C80028"/>
    <w:rsid w:val="00C82B51"/>
    <w:rsid w:val="00C841BD"/>
    <w:rsid w:val="00C84DC7"/>
    <w:rsid w:val="00C86DA7"/>
    <w:rsid w:val="00C93C2D"/>
    <w:rsid w:val="00C960DE"/>
    <w:rsid w:val="00C96C39"/>
    <w:rsid w:val="00C97F87"/>
    <w:rsid w:val="00CA23E1"/>
    <w:rsid w:val="00CB05F2"/>
    <w:rsid w:val="00CB2965"/>
    <w:rsid w:val="00CB4A34"/>
    <w:rsid w:val="00CB7E44"/>
    <w:rsid w:val="00CC07D9"/>
    <w:rsid w:val="00CC21FD"/>
    <w:rsid w:val="00CC37B9"/>
    <w:rsid w:val="00CC47B6"/>
    <w:rsid w:val="00CC7593"/>
    <w:rsid w:val="00CD4EE4"/>
    <w:rsid w:val="00CE01B9"/>
    <w:rsid w:val="00CE0AA7"/>
    <w:rsid w:val="00CE6D84"/>
    <w:rsid w:val="00CE6DAB"/>
    <w:rsid w:val="00CF2548"/>
    <w:rsid w:val="00CF3215"/>
    <w:rsid w:val="00CF4EDD"/>
    <w:rsid w:val="00D01D4F"/>
    <w:rsid w:val="00D01E4B"/>
    <w:rsid w:val="00D02AC4"/>
    <w:rsid w:val="00D0317E"/>
    <w:rsid w:val="00D1144E"/>
    <w:rsid w:val="00D16FEF"/>
    <w:rsid w:val="00D23A2A"/>
    <w:rsid w:val="00D5522A"/>
    <w:rsid w:val="00D55FD5"/>
    <w:rsid w:val="00D61E65"/>
    <w:rsid w:val="00D74D30"/>
    <w:rsid w:val="00D869C9"/>
    <w:rsid w:val="00D9136A"/>
    <w:rsid w:val="00D922B7"/>
    <w:rsid w:val="00D93B95"/>
    <w:rsid w:val="00DA14BB"/>
    <w:rsid w:val="00DA6D12"/>
    <w:rsid w:val="00DB0D24"/>
    <w:rsid w:val="00DC60A3"/>
    <w:rsid w:val="00DD5781"/>
    <w:rsid w:val="00DD7542"/>
    <w:rsid w:val="00DE0774"/>
    <w:rsid w:val="00DF55C0"/>
    <w:rsid w:val="00DF6007"/>
    <w:rsid w:val="00E01984"/>
    <w:rsid w:val="00E02BD9"/>
    <w:rsid w:val="00E11263"/>
    <w:rsid w:val="00E26CBA"/>
    <w:rsid w:val="00E36190"/>
    <w:rsid w:val="00E4207A"/>
    <w:rsid w:val="00E467B7"/>
    <w:rsid w:val="00E50A5C"/>
    <w:rsid w:val="00E61F6F"/>
    <w:rsid w:val="00E61FDE"/>
    <w:rsid w:val="00E62859"/>
    <w:rsid w:val="00E6339B"/>
    <w:rsid w:val="00E63918"/>
    <w:rsid w:val="00E63EE0"/>
    <w:rsid w:val="00E700F4"/>
    <w:rsid w:val="00E74F3C"/>
    <w:rsid w:val="00E9029B"/>
    <w:rsid w:val="00E955F3"/>
    <w:rsid w:val="00E9639B"/>
    <w:rsid w:val="00EA2D6A"/>
    <w:rsid w:val="00EA6296"/>
    <w:rsid w:val="00EB3382"/>
    <w:rsid w:val="00EB4207"/>
    <w:rsid w:val="00ED4E7B"/>
    <w:rsid w:val="00ED79D9"/>
    <w:rsid w:val="00EE79FE"/>
    <w:rsid w:val="00EF119D"/>
    <w:rsid w:val="00F10534"/>
    <w:rsid w:val="00F12203"/>
    <w:rsid w:val="00F16B91"/>
    <w:rsid w:val="00F17E08"/>
    <w:rsid w:val="00F20608"/>
    <w:rsid w:val="00F22E87"/>
    <w:rsid w:val="00F23BFF"/>
    <w:rsid w:val="00F25BB6"/>
    <w:rsid w:val="00F25F27"/>
    <w:rsid w:val="00F36663"/>
    <w:rsid w:val="00F435D5"/>
    <w:rsid w:val="00F44CA0"/>
    <w:rsid w:val="00F46301"/>
    <w:rsid w:val="00F46334"/>
    <w:rsid w:val="00F46467"/>
    <w:rsid w:val="00F514C2"/>
    <w:rsid w:val="00F550E2"/>
    <w:rsid w:val="00F57B6C"/>
    <w:rsid w:val="00F61C0E"/>
    <w:rsid w:val="00F633D7"/>
    <w:rsid w:val="00F6466F"/>
    <w:rsid w:val="00F72FA9"/>
    <w:rsid w:val="00F809DB"/>
    <w:rsid w:val="00F82AB9"/>
    <w:rsid w:val="00F83BA3"/>
    <w:rsid w:val="00F86044"/>
    <w:rsid w:val="00F87BB3"/>
    <w:rsid w:val="00F949FC"/>
    <w:rsid w:val="00FA4A28"/>
    <w:rsid w:val="00FB37D2"/>
    <w:rsid w:val="00FB3FCC"/>
    <w:rsid w:val="00FB550D"/>
    <w:rsid w:val="00FC6DE0"/>
    <w:rsid w:val="00FD1122"/>
    <w:rsid w:val="00FD4A86"/>
    <w:rsid w:val="00FD5012"/>
    <w:rsid w:val="00FE42A3"/>
    <w:rsid w:val="00FE6A67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3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B9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77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9C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B17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Martos</cp:lastModifiedBy>
  <cp:revision>3</cp:revision>
  <cp:lastPrinted>2011-05-18T15:13:00Z</cp:lastPrinted>
  <dcterms:created xsi:type="dcterms:W3CDTF">2012-06-26T10:46:00Z</dcterms:created>
  <dcterms:modified xsi:type="dcterms:W3CDTF">2012-06-26T11:07:00Z</dcterms:modified>
</cp:coreProperties>
</file>