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00A3" w14:textId="77777777" w:rsidR="005E7871" w:rsidRDefault="004A48E6" w:rsidP="004A48E6">
      <w:pPr>
        <w:pStyle w:val="CM1"/>
        <w:jc w:val="center"/>
        <w:rPr>
          <w:rFonts w:cs="Arial"/>
          <w:color w:val="000000"/>
          <w:sz w:val="22"/>
          <w:szCs w:val="22"/>
          <w:lang w:val="es-ES"/>
        </w:rPr>
      </w:pPr>
      <w:bookmarkStart w:id="0" w:name="_GoBack"/>
      <w:bookmarkEnd w:id="0"/>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21AE47C8" w14:textId="79A5D78C" w:rsidR="00786100" w:rsidRPr="008E5B74" w:rsidRDefault="00B659DC" w:rsidP="004A48E6">
      <w:pPr>
        <w:pStyle w:val="CM1"/>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 xml:space="preserve">l Proyecto </w:t>
      </w:r>
      <w:r w:rsidR="00786100" w:rsidRPr="008E5B74">
        <w:rPr>
          <w:rFonts w:cs="Arial"/>
          <w:color w:val="000000"/>
          <w:sz w:val="22"/>
          <w:szCs w:val="22"/>
          <w:lang w:val="es-ES"/>
        </w:rPr>
        <w:t xml:space="preserve"> ..........................................................</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6A4B1F5A" w:rsidR="00786100" w:rsidRPr="008E5B74" w:rsidRDefault="00786100" w:rsidP="004A48E6">
      <w:pPr>
        <w:pStyle w:val="CM2"/>
        <w:spacing w:after="0"/>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3EBA7938" w14:textId="77777777" w:rsidR="00353836" w:rsidRPr="008E5B74" w:rsidRDefault="00353836" w:rsidP="004A48E6">
      <w:pPr>
        <w:pStyle w:val="CM2"/>
        <w:spacing w:after="0"/>
        <w:jc w:val="both"/>
        <w:rPr>
          <w:rFonts w:cs="Arial"/>
          <w:color w:val="000000"/>
          <w:sz w:val="22"/>
          <w:szCs w:val="22"/>
          <w:lang w:val="es-ES"/>
        </w:rPr>
      </w:pPr>
    </w:p>
    <w:p w14:paraId="12C9294C" w14:textId="77777777" w:rsidR="00822A5A" w:rsidRPr="008E5B74" w:rsidRDefault="001515CD" w:rsidP="004A48E6">
      <w:pPr>
        <w:pStyle w:val="CM2"/>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22A5A" w:rsidRPr="008E5B74">
        <w:rPr>
          <w:rFonts w:cs="Arial"/>
          <w:color w:val="000000"/>
          <w:sz w:val="22"/>
          <w:szCs w:val="22"/>
          <w:lang w:val="es-ES"/>
        </w:rPr>
        <w:t xml:space="preserve">, </w:t>
      </w:r>
      <w:r w:rsidR="00E8181B" w:rsidRPr="008E5B74">
        <w:rPr>
          <w:rFonts w:cs="Arial"/>
          <w:color w:val="000000"/>
          <w:sz w:val="22"/>
          <w:szCs w:val="22"/>
          <w:lang w:val="es-ES"/>
        </w:rPr>
        <w:t>h</w:t>
      </w:r>
      <w:r w:rsidR="00822A5A" w:rsidRPr="008E5B74">
        <w:rPr>
          <w:rFonts w:cs="Arial"/>
          <w:color w:val="000000"/>
          <w:sz w:val="22"/>
          <w:szCs w:val="22"/>
          <w:lang w:val="es-ES"/>
        </w:rPr>
        <w:t xml:space="preserve">a </w:t>
      </w:r>
      <w:r w:rsidR="00B54966">
        <w:rPr>
          <w:rFonts w:cs="Arial"/>
          <w:color w:val="000000"/>
          <w:sz w:val="22"/>
          <w:szCs w:val="22"/>
          <w:lang w:val="es-ES"/>
        </w:rPr>
        <w:t>solicitado/</w:t>
      </w:r>
      <w:r w:rsidR="00822A5A" w:rsidRPr="008E5B74">
        <w:rPr>
          <w:rFonts w:cs="Arial"/>
          <w:color w:val="000000"/>
          <w:sz w:val="22"/>
          <w:szCs w:val="22"/>
          <w:lang w:val="es-ES"/>
        </w:rPr>
        <w:t>recibido l</w:t>
      </w:r>
      <w:r w:rsidR="00B54966">
        <w:rPr>
          <w:rFonts w:cs="Arial"/>
          <w:color w:val="000000"/>
          <w:sz w:val="22"/>
          <w:szCs w:val="22"/>
          <w:lang w:val="es-ES"/>
        </w:rPr>
        <w:t>o</w:t>
      </w:r>
      <w:r w:rsidRPr="008E5B74">
        <w:rPr>
          <w:rFonts w:cs="Arial"/>
          <w:color w:val="000000"/>
          <w:sz w:val="22"/>
          <w:szCs w:val="22"/>
          <w:lang w:val="es-ES"/>
        </w:rPr>
        <w:t>s</w:t>
      </w:r>
      <w:r w:rsidR="00822A5A" w:rsidRPr="008E5B74">
        <w:rPr>
          <w:rFonts w:cs="Arial"/>
          <w:color w:val="000000"/>
          <w:sz w:val="22"/>
          <w:szCs w:val="22"/>
          <w:lang w:val="es-ES"/>
        </w:rPr>
        <w:t xml:space="preserve"> siguientes </w:t>
      </w:r>
      <w:r w:rsidR="00B54966">
        <w:rPr>
          <w:rFonts w:cs="Arial"/>
          <w:color w:val="000000"/>
          <w:sz w:val="22"/>
          <w:szCs w:val="22"/>
          <w:lang w:val="es-ES"/>
        </w:rPr>
        <w:t>ingresos y/o ayudas</w:t>
      </w:r>
      <w:r w:rsidR="00822A5A" w:rsidRPr="008E5B74">
        <w:rPr>
          <w:rFonts w:cs="Arial"/>
          <w:color w:val="000000"/>
          <w:sz w:val="22"/>
          <w:szCs w:val="22"/>
          <w:lang w:val="es-ES"/>
        </w:rPr>
        <w:t xml:space="preserve"> concurrentes:</w:t>
      </w:r>
    </w:p>
    <w:p w14:paraId="1F65F0A2" w14:textId="77777777" w:rsidR="004312B8" w:rsidRPr="008B34B1" w:rsidRDefault="004312B8" w:rsidP="004312B8">
      <w:pPr>
        <w:pStyle w:val="Default"/>
        <w:rPr>
          <w:lang w:val="es-E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D14CB2">
        <w:tc>
          <w:tcPr>
            <w:tcW w:w="1702" w:type="dxa"/>
            <w:shd w:val="clear" w:color="auto" w:fill="auto"/>
          </w:tcPr>
          <w:p w14:paraId="24CD3558" w14:textId="77777777" w:rsidR="004312B8" w:rsidRPr="00AB3B57" w:rsidRDefault="004312B8" w:rsidP="00D14CB2">
            <w:pPr>
              <w:pStyle w:val="Default"/>
              <w:jc w:val="center"/>
              <w:rPr>
                <w:sz w:val="18"/>
                <w:szCs w:val="18"/>
              </w:rPr>
            </w:pPr>
            <w:r>
              <w:rPr>
                <w:sz w:val="18"/>
                <w:szCs w:val="18"/>
              </w:rPr>
              <w:t xml:space="preserve">Denominación del </w:t>
            </w:r>
            <w:r w:rsidRPr="00AB3B57">
              <w:rPr>
                <w:sz w:val="18"/>
                <w:szCs w:val="18"/>
              </w:rPr>
              <w:t>Programa</w:t>
            </w:r>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r>
              <w:rPr>
                <w:sz w:val="18"/>
                <w:szCs w:val="18"/>
              </w:rPr>
              <w:t xml:space="preserve">Año </w:t>
            </w:r>
            <w:r w:rsidRPr="00AB3B57">
              <w:rPr>
                <w:sz w:val="18"/>
                <w:szCs w:val="18"/>
              </w:rPr>
              <w:t>Convocatoria</w:t>
            </w:r>
          </w:p>
        </w:tc>
        <w:tc>
          <w:tcPr>
            <w:tcW w:w="1843" w:type="dxa"/>
            <w:shd w:val="clear" w:color="auto" w:fill="auto"/>
          </w:tcPr>
          <w:p w14:paraId="3E459AC1" w14:textId="77777777" w:rsidR="004312B8" w:rsidRPr="00AB3B57" w:rsidRDefault="004312B8" w:rsidP="00D14CB2">
            <w:pPr>
              <w:pStyle w:val="Default"/>
              <w:jc w:val="center"/>
              <w:rPr>
                <w:sz w:val="18"/>
                <w:szCs w:val="18"/>
              </w:rPr>
            </w:pPr>
            <w:r w:rsidRPr="00AB3B57">
              <w:rPr>
                <w:sz w:val="18"/>
                <w:szCs w:val="18"/>
              </w:rPr>
              <w:t>Entidad concedente</w:t>
            </w:r>
          </w:p>
        </w:tc>
        <w:tc>
          <w:tcPr>
            <w:tcW w:w="1134" w:type="dxa"/>
            <w:shd w:val="clear" w:color="auto" w:fill="auto"/>
          </w:tcPr>
          <w:p w14:paraId="0F4EBD0D" w14:textId="77777777" w:rsidR="004312B8" w:rsidRPr="00AB3B57" w:rsidRDefault="004312B8" w:rsidP="00D14CB2">
            <w:pPr>
              <w:pStyle w:val="Default"/>
              <w:jc w:val="center"/>
              <w:rPr>
                <w:sz w:val="18"/>
                <w:szCs w:val="18"/>
              </w:rPr>
            </w:pPr>
            <w:r w:rsidRPr="00AB3B57">
              <w:rPr>
                <w:sz w:val="18"/>
                <w:szCs w:val="18"/>
              </w:rPr>
              <w:t>Cuantía (€)</w:t>
            </w:r>
          </w:p>
        </w:tc>
        <w:tc>
          <w:tcPr>
            <w:tcW w:w="2446" w:type="dxa"/>
            <w:shd w:val="clear" w:color="auto" w:fill="auto"/>
          </w:tcPr>
          <w:p w14:paraId="5AB75484" w14:textId="77777777" w:rsidR="004312B8" w:rsidRPr="00AB3B57" w:rsidRDefault="004312B8" w:rsidP="00D14CB2">
            <w:pPr>
              <w:pStyle w:val="Default"/>
              <w:jc w:val="center"/>
              <w:rPr>
                <w:sz w:val="18"/>
                <w:szCs w:val="18"/>
              </w:rPr>
            </w:pPr>
            <w:r w:rsidRPr="00AB3B57">
              <w:rPr>
                <w:sz w:val="18"/>
                <w:szCs w:val="18"/>
              </w:rPr>
              <w:t>Finalidad</w:t>
            </w:r>
          </w:p>
        </w:tc>
        <w:tc>
          <w:tcPr>
            <w:tcW w:w="1523" w:type="dxa"/>
            <w:shd w:val="clear" w:color="auto" w:fill="auto"/>
          </w:tcPr>
          <w:p w14:paraId="46324004" w14:textId="77777777" w:rsidR="004312B8" w:rsidRPr="00AB3B57" w:rsidRDefault="004312B8" w:rsidP="00D14CB2">
            <w:pPr>
              <w:pStyle w:val="Default"/>
              <w:jc w:val="center"/>
              <w:rPr>
                <w:sz w:val="18"/>
                <w:szCs w:val="18"/>
              </w:rPr>
            </w:pPr>
            <w:r w:rsidRPr="00AB3B57">
              <w:rPr>
                <w:sz w:val="18"/>
                <w:szCs w:val="18"/>
              </w:rPr>
              <w:t>Plazo ejecución</w:t>
            </w:r>
            <w:r>
              <w:rPr>
                <w:sz w:val="18"/>
                <w:szCs w:val="18"/>
              </w:rPr>
              <w:t xml:space="preserve"> del proyecto</w:t>
            </w:r>
          </w:p>
        </w:tc>
      </w:tr>
      <w:tr w:rsidR="004312B8" w14:paraId="6B0CFE7B" w14:textId="77777777" w:rsidTr="00D14CB2">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D14CB2">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D14CB2">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D14CB2">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62D74E24" w14:textId="77777777" w:rsidR="004312B8" w:rsidRDefault="004312B8" w:rsidP="004312B8">
      <w:pPr>
        <w:pStyle w:val="Default"/>
      </w:pPr>
    </w:p>
    <w:p w14:paraId="65A7B769" w14:textId="5B125075"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E8181B" w:rsidRPr="008E5B74">
        <w:rPr>
          <w:rFonts w:cs="Arial"/>
          <w:color w:val="000000"/>
          <w:sz w:val="22"/>
          <w:szCs w:val="22"/>
          <w:lang w:val="es-ES"/>
        </w:rPr>
        <w:t>……… de ………………… de 201</w:t>
      </w:r>
      <w:r w:rsidR="006C32DF">
        <w:rPr>
          <w:rFonts w:cs="Arial"/>
          <w:color w:val="000000"/>
          <w:sz w:val="22"/>
          <w:szCs w:val="22"/>
          <w:lang w:val="es-ES"/>
        </w:rPr>
        <w:t>9</w:t>
      </w:r>
      <w:r w:rsidRPr="008E5B74">
        <w:rPr>
          <w:rFonts w:cs="Arial"/>
          <w:color w:val="000000"/>
          <w:sz w:val="22"/>
          <w:szCs w:val="22"/>
          <w:lang w:val="es-ES"/>
        </w:rPr>
        <w:t xml:space="preserve"> </w:t>
      </w:r>
    </w:p>
    <w:p w14:paraId="60AFCBDF" w14:textId="77777777" w:rsidR="00DD6B4A" w:rsidRDefault="00DD6B4A" w:rsidP="004A48E6">
      <w:pPr>
        <w:pStyle w:val="CM1"/>
        <w:spacing w:line="480" w:lineRule="auto"/>
        <w:jc w:val="both"/>
        <w:rPr>
          <w:rFonts w:cs="Arial"/>
          <w:color w:val="000000"/>
          <w:sz w:val="22"/>
          <w:szCs w:val="22"/>
          <w:lang w:val="es-ES"/>
        </w:rPr>
      </w:pPr>
    </w:p>
    <w:p w14:paraId="185EBCA6" w14:textId="77777777" w:rsidR="00C66140" w:rsidRPr="00C66140" w:rsidRDefault="00C66140" w:rsidP="00C66140">
      <w:pPr>
        <w:pStyle w:val="Default"/>
        <w:rPr>
          <w:lang w:val="es-ES"/>
        </w:rPr>
      </w:pP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009D9803" w14:textId="77777777" w:rsidR="004A48E6" w:rsidRDefault="004A48E6" w:rsidP="004A48E6">
      <w:pPr>
        <w:pStyle w:val="Default"/>
        <w:rPr>
          <w:lang w:val="es-ES"/>
        </w:rPr>
      </w:pPr>
    </w:p>
    <w:p w14:paraId="38DD488A" w14:textId="77777777" w:rsidR="0075152B" w:rsidRDefault="00B22943" w:rsidP="004A48E6">
      <w:pPr>
        <w:pStyle w:val="Default"/>
        <w:rPr>
          <w:lang w:val="es-ES"/>
        </w:rPr>
      </w:pPr>
      <w:r>
        <w:rPr>
          <w:lang w:val="es-ES"/>
        </w:rPr>
        <w:t>___________________</w:t>
      </w:r>
    </w:p>
    <w:p w14:paraId="1C349860" w14:textId="77777777" w:rsidR="00B22943" w:rsidRDefault="00B22943" w:rsidP="00B22943">
      <w:pPr>
        <w:tabs>
          <w:tab w:val="left" w:pos="426"/>
        </w:tabs>
        <w:jc w:val="both"/>
        <w:rPr>
          <w:rFonts w:ascii="Arial" w:hAnsi="Arial" w:cs="Arial"/>
          <w:i/>
          <w:sz w:val="20"/>
          <w:szCs w:val="20"/>
        </w:rPr>
      </w:pPr>
    </w:p>
    <w:p w14:paraId="0864199A" w14:textId="35AE0613" w:rsidR="00557757" w:rsidRDefault="000A4E15" w:rsidP="00557757">
      <w:pPr>
        <w:tabs>
          <w:tab w:val="left" w:pos="426"/>
        </w:tabs>
        <w:spacing w:after="240"/>
        <w:jc w:val="both"/>
        <w:rPr>
          <w:rFonts w:ascii="Arial" w:hAnsi="Arial" w:cs="Arial"/>
          <w:i/>
          <w:sz w:val="20"/>
          <w:szCs w:val="20"/>
        </w:rPr>
      </w:pPr>
      <w:r w:rsidRPr="000A4E15">
        <w:rPr>
          <w:rFonts w:ascii="Arial" w:hAnsi="Arial" w:cs="Arial"/>
          <w:i/>
          <w:sz w:val="20"/>
          <w:szCs w:val="20"/>
        </w:rPr>
        <w:t xml:space="preserve">Conforme establece el artículo </w:t>
      </w:r>
      <w:r w:rsidR="00557757">
        <w:rPr>
          <w:rFonts w:ascii="Arial" w:hAnsi="Arial" w:cs="Arial"/>
          <w:i/>
          <w:sz w:val="20"/>
          <w:szCs w:val="20"/>
        </w:rPr>
        <w:t>1</w:t>
      </w:r>
      <w:r w:rsidR="006C32DF">
        <w:rPr>
          <w:rFonts w:ascii="Arial" w:hAnsi="Arial" w:cs="Arial"/>
          <w:i/>
          <w:sz w:val="20"/>
          <w:szCs w:val="20"/>
        </w:rPr>
        <w:t>2</w:t>
      </w:r>
      <w:r w:rsidR="00557757" w:rsidRPr="000A4E15">
        <w:rPr>
          <w:rFonts w:ascii="Arial" w:hAnsi="Arial" w:cs="Arial"/>
          <w:i/>
          <w:sz w:val="20"/>
          <w:szCs w:val="20"/>
        </w:rPr>
        <w:t xml:space="preserve"> </w:t>
      </w:r>
      <w:r w:rsidRPr="000A4E15">
        <w:rPr>
          <w:rFonts w:ascii="Arial" w:hAnsi="Arial" w:cs="Arial"/>
          <w:i/>
          <w:sz w:val="20"/>
          <w:szCs w:val="20"/>
        </w:rPr>
        <w:t>de la convocatoria para el año 201</w:t>
      </w:r>
      <w:r w:rsidR="006C32DF">
        <w:rPr>
          <w:rFonts w:ascii="Arial" w:hAnsi="Arial" w:cs="Arial"/>
          <w:i/>
          <w:sz w:val="20"/>
          <w:szCs w:val="20"/>
        </w:rPr>
        <w:t>9</w:t>
      </w:r>
      <w:r w:rsidRPr="000A4E15">
        <w:rPr>
          <w:rFonts w:ascii="Arial" w:hAnsi="Arial" w:cs="Arial"/>
          <w:i/>
          <w:sz w:val="20"/>
          <w:szCs w:val="20"/>
        </w:rPr>
        <w:t xml:space="preserve"> de</w:t>
      </w:r>
      <w:r w:rsidR="00DD2B03">
        <w:rPr>
          <w:rFonts w:ascii="Arial" w:hAnsi="Arial" w:cs="Arial"/>
          <w:i/>
          <w:sz w:val="20"/>
          <w:szCs w:val="20"/>
        </w:rPr>
        <w:t xml:space="preserve"> las</w:t>
      </w:r>
      <w:r w:rsidR="00557757" w:rsidRPr="00557757">
        <w:t xml:space="preserve"> </w:t>
      </w:r>
      <w:r w:rsidR="00557757" w:rsidRPr="00557757">
        <w:rPr>
          <w:rFonts w:ascii="Arial" w:hAnsi="Arial" w:cs="Arial"/>
          <w:i/>
          <w:sz w:val="20"/>
          <w:szCs w:val="20"/>
        </w:rPr>
        <w:t>ayudas correspondientes a los Proyectos de I+D+i «</w:t>
      </w:r>
      <w:r w:rsidR="00CC4CCD">
        <w:rPr>
          <w:rFonts w:ascii="Arial" w:hAnsi="Arial" w:cs="Arial"/>
          <w:i/>
          <w:sz w:val="20"/>
          <w:szCs w:val="20"/>
        </w:rPr>
        <w:t>Retos investigación</w:t>
      </w:r>
      <w:r w:rsidR="006C32DF">
        <w:rPr>
          <w:rFonts w:ascii="Arial" w:hAnsi="Arial" w:cs="Arial"/>
          <w:i/>
          <w:sz w:val="20"/>
          <w:szCs w:val="20"/>
        </w:rPr>
        <w:t xml:space="preserve"> y </w:t>
      </w:r>
      <w:r w:rsidR="00367777">
        <w:rPr>
          <w:rFonts w:ascii="Arial" w:hAnsi="Arial" w:cs="Arial"/>
          <w:i/>
          <w:sz w:val="20"/>
          <w:szCs w:val="20"/>
        </w:rPr>
        <w:t>Generación del Conocimiento»</w:t>
      </w:r>
      <w:r w:rsidRPr="000A4E15">
        <w:rPr>
          <w:rFonts w:ascii="Arial" w:hAnsi="Arial" w:cs="Arial"/>
          <w:i/>
          <w:sz w:val="20"/>
          <w:szCs w:val="20"/>
        </w:rPr>
        <w:t xml:space="preserve">, </w:t>
      </w:r>
      <w:r w:rsidR="00557757">
        <w:rPr>
          <w:rFonts w:ascii="Arial" w:hAnsi="Arial" w:cs="Arial"/>
          <w:i/>
          <w:sz w:val="20"/>
          <w:szCs w:val="20"/>
        </w:rPr>
        <w:t>l</w:t>
      </w:r>
      <w:r w:rsidR="00557757" w:rsidRPr="00557757">
        <w:rPr>
          <w:rFonts w:ascii="Arial" w:hAnsi="Arial" w:cs="Arial"/>
          <w:i/>
          <w:sz w:val="20"/>
          <w:szCs w:val="20"/>
        </w:rPr>
        <w:t>a percepción de estas ayudas será compatible con la percepción de otras subvenciones, ayudas, ingresos o recursos para el mismo proyecto y los mismos costes elegibles, procedentes de cualesquiera Administraciones o entes públicos o privados, nacionales, de la UE o de organismos internacionales hasta el límite del importe financiable de la ayuda concedida.</w:t>
      </w:r>
    </w:p>
    <w:p w14:paraId="7E7815C5" w14:textId="4595D607" w:rsidR="003C0E29" w:rsidRPr="000A4E15" w:rsidRDefault="00557757" w:rsidP="00557757">
      <w:pPr>
        <w:tabs>
          <w:tab w:val="left" w:pos="426"/>
        </w:tabs>
        <w:spacing w:after="240"/>
        <w:jc w:val="both"/>
        <w:rPr>
          <w:rFonts w:ascii="Arial" w:hAnsi="Arial" w:cs="Arial"/>
          <w:i/>
          <w:sz w:val="20"/>
          <w:szCs w:val="20"/>
        </w:rPr>
      </w:pPr>
      <w:r w:rsidRPr="00557757">
        <w:rPr>
          <w:rFonts w:ascii="Arial" w:hAnsi="Arial" w:cs="Arial"/>
          <w:i/>
          <w:sz w:val="20"/>
          <w:szCs w:val="20"/>
        </w:rPr>
        <w:t xml:space="preserve">En caso de que las entidades beneficiarias reciban otras ayudas u otro tipo de ingresos públicos o privados para la misma </w:t>
      </w:r>
      <w:r w:rsidR="00020C54">
        <w:rPr>
          <w:rFonts w:ascii="Arial" w:hAnsi="Arial" w:cs="Arial"/>
          <w:i/>
          <w:sz w:val="20"/>
          <w:szCs w:val="20"/>
        </w:rPr>
        <w:t>actividad subvencionada</w:t>
      </w:r>
      <w:r w:rsidRPr="00557757">
        <w:rPr>
          <w:rFonts w:ascii="Arial" w:hAnsi="Arial" w:cs="Arial"/>
          <w:i/>
          <w:sz w:val="20"/>
          <w:szCs w:val="20"/>
        </w:rPr>
        <w:t xml:space="preserve"> y con conceptos de gasto semejantes deberá</w:t>
      </w:r>
      <w:r w:rsidR="00020C54">
        <w:rPr>
          <w:rFonts w:ascii="Arial" w:hAnsi="Arial" w:cs="Arial"/>
          <w:i/>
          <w:sz w:val="20"/>
          <w:szCs w:val="20"/>
        </w:rPr>
        <w:t xml:space="preserve"> hacerlo constar </w:t>
      </w:r>
      <w:r w:rsidRPr="00557757">
        <w:rPr>
          <w:rFonts w:ascii="Arial" w:hAnsi="Arial" w:cs="Arial"/>
          <w:i/>
          <w:sz w:val="20"/>
          <w:szCs w:val="20"/>
        </w:rPr>
        <w:t>en el momento en el</w:t>
      </w:r>
      <w:r w:rsidR="00020C54">
        <w:rPr>
          <w:rFonts w:ascii="Arial" w:hAnsi="Arial" w:cs="Arial"/>
          <w:i/>
          <w:sz w:val="20"/>
          <w:szCs w:val="20"/>
        </w:rPr>
        <w:t xml:space="preserve"> qu</w:t>
      </w:r>
      <w:r w:rsidRPr="00557757">
        <w:rPr>
          <w:rFonts w:ascii="Arial" w:hAnsi="Arial" w:cs="Arial"/>
          <w:i/>
          <w:sz w:val="20"/>
          <w:szCs w:val="20"/>
        </w:rPr>
        <w:t>e se produzca la concurrencia, en la forma que se determina en el artículo 14, utilizando el modelo disponible en la página web de la Agencia.</w:t>
      </w:r>
    </w:p>
    <w:p w14:paraId="5FE81E73" w14:textId="77777777" w:rsidR="000A4E15" w:rsidRPr="000A4E15" w:rsidRDefault="000A4E15" w:rsidP="000A4E15">
      <w:pPr>
        <w:autoSpaceDE w:val="0"/>
        <w:autoSpaceDN w:val="0"/>
        <w:adjustRightInd w:val="0"/>
        <w:jc w:val="both"/>
        <w:rPr>
          <w:rFonts w:ascii="Arial" w:hAnsi="Arial" w:cs="Arial"/>
          <w:i/>
          <w:sz w:val="20"/>
          <w:szCs w:val="20"/>
        </w:rPr>
      </w:pPr>
      <w:r w:rsidRPr="000A4E15">
        <w:rPr>
          <w:rFonts w:ascii="Arial" w:hAnsi="Arial" w:cs="Arial"/>
          <w:i/>
          <w:sz w:val="20"/>
          <w:szCs w:val="20"/>
        </w:rPr>
        <w:t xml:space="preserve">Es de aplicación a tales supuestos de financiación concurrente lo establecido en los artículos 33 y 34 del </w:t>
      </w:r>
      <w:r w:rsidRPr="000A4E15">
        <w:rPr>
          <w:rFonts w:ascii="UniversLTStd-Obl" w:hAnsi="UniversLTStd-Obl" w:cs="UniversLTStd-Obl"/>
          <w:i/>
          <w:iCs/>
          <w:sz w:val="19"/>
          <w:szCs w:val="19"/>
        </w:rPr>
        <w:t xml:space="preserve">Real Decreto 887/2006, de 21 de julio, por el que se aprueba el Reglamento de la Ley 38/2003, de 17 de noviembre, General </w:t>
      </w:r>
      <w:r w:rsidRPr="000A4E15">
        <w:rPr>
          <w:rFonts w:ascii="Arial" w:hAnsi="Arial" w:cs="Arial"/>
          <w:i/>
          <w:sz w:val="20"/>
          <w:szCs w:val="20"/>
        </w:rPr>
        <w:t>de Subvenciones:</w:t>
      </w:r>
    </w:p>
    <w:p w14:paraId="66E51397" w14:textId="77777777" w:rsidR="0075152B" w:rsidRPr="000A4E15" w:rsidRDefault="0075152B" w:rsidP="004A48E6">
      <w:pPr>
        <w:pStyle w:val="Default"/>
        <w:rPr>
          <w:i/>
          <w:lang w:val="es-ES"/>
        </w:rPr>
      </w:pPr>
    </w:p>
    <w:p w14:paraId="7D2D84AF" w14:textId="77777777" w:rsidR="0075152B" w:rsidRPr="000A4E15" w:rsidRDefault="00392870" w:rsidP="0075152B">
      <w:pPr>
        <w:pStyle w:val="Default"/>
        <w:jc w:val="both"/>
        <w:rPr>
          <w:i/>
          <w:sz w:val="16"/>
          <w:lang w:val="es-ES"/>
        </w:rPr>
      </w:pPr>
      <w:r>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lastRenderedPageBreak/>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371591C" w14:textId="77777777" w:rsidR="0075152B" w:rsidRPr="000A4E15" w:rsidRDefault="0075152B" w:rsidP="0075152B">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p w14:paraId="0E746788" w14:textId="77777777" w:rsidR="004A48E6" w:rsidRPr="000A4E15" w:rsidRDefault="004A48E6" w:rsidP="004A48E6">
      <w:pPr>
        <w:pStyle w:val="Default"/>
        <w:rPr>
          <w:i/>
          <w:lang w:val="es-ES"/>
        </w:rPr>
      </w:pPr>
    </w:p>
    <w:sectPr w:rsidR="004A48E6" w:rsidRPr="000A4E15" w:rsidSect="003506D7">
      <w:headerReference w:type="default" r:id="rId7"/>
      <w:footerReference w:type="default" r:id="rId8"/>
      <w:type w:val="continuous"/>
      <w:pgSz w:w="12240" w:h="15840"/>
      <w:pgMar w:top="2127" w:right="1418" w:bottom="1440" w:left="1418" w:header="284" w:footer="64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B5EDC" w14:textId="77777777" w:rsidR="00D2434F" w:rsidRDefault="00D2434F" w:rsidP="00353836">
      <w:r>
        <w:separator/>
      </w:r>
    </w:p>
  </w:endnote>
  <w:endnote w:type="continuationSeparator" w:id="0">
    <w:p w14:paraId="629B99E3" w14:textId="77777777" w:rsidR="00D2434F" w:rsidRDefault="00D2434F"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LTSt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FB1A38">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FB1A38">
      <w:rPr>
        <w:rFonts w:ascii="Arial" w:hAnsi="Arial" w:cs="Arial"/>
        <w:noProof/>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2A3F5" w14:textId="77777777" w:rsidR="00D2434F" w:rsidRDefault="00D2434F" w:rsidP="00353836">
      <w:r>
        <w:separator/>
      </w:r>
    </w:p>
  </w:footnote>
  <w:footnote w:type="continuationSeparator" w:id="0">
    <w:p w14:paraId="73DD6AA4" w14:textId="77777777" w:rsidR="00D2434F" w:rsidRDefault="00D2434F" w:rsidP="00353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173D6E8F">
                <wp:extent cx="2933700" cy="624305"/>
                <wp:effectExtent l="0" t="0" r="0" b="1079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202" cy="624412"/>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20C54"/>
    <w:rsid w:val="000312FE"/>
    <w:rsid w:val="00084C91"/>
    <w:rsid w:val="000A4E15"/>
    <w:rsid w:val="000C4249"/>
    <w:rsid w:val="001006AF"/>
    <w:rsid w:val="00103527"/>
    <w:rsid w:val="0011034F"/>
    <w:rsid w:val="001515CD"/>
    <w:rsid w:val="001532C9"/>
    <w:rsid w:val="00156241"/>
    <w:rsid w:val="00174248"/>
    <w:rsid w:val="0026759D"/>
    <w:rsid w:val="002870F6"/>
    <w:rsid w:val="002B4648"/>
    <w:rsid w:val="0033190E"/>
    <w:rsid w:val="003506D7"/>
    <w:rsid w:val="00353836"/>
    <w:rsid w:val="00367777"/>
    <w:rsid w:val="00392870"/>
    <w:rsid w:val="003C0E29"/>
    <w:rsid w:val="0042758F"/>
    <w:rsid w:val="004312B8"/>
    <w:rsid w:val="00491225"/>
    <w:rsid w:val="004A48E6"/>
    <w:rsid w:val="0050726C"/>
    <w:rsid w:val="00557757"/>
    <w:rsid w:val="005E7871"/>
    <w:rsid w:val="005F0ECE"/>
    <w:rsid w:val="00617DDA"/>
    <w:rsid w:val="0062630C"/>
    <w:rsid w:val="00687B34"/>
    <w:rsid w:val="00695636"/>
    <w:rsid w:val="006C32DF"/>
    <w:rsid w:val="0075152B"/>
    <w:rsid w:val="00786100"/>
    <w:rsid w:val="007B05C3"/>
    <w:rsid w:val="00822A5A"/>
    <w:rsid w:val="008B34B1"/>
    <w:rsid w:val="008E5B74"/>
    <w:rsid w:val="008F2669"/>
    <w:rsid w:val="00925D60"/>
    <w:rsid w:val="00956718"/>
    <w:rsid w:val="00972B70"/>
    <w:rsid w:val="009C2682"/>
    <w:rsid w:val="009F77BB"/>
    <w:rsid w:val="00A27291"/>
    <w:rsid w:val="00AA053F"/>
    <w:rsid w:val="00AB6F6C"/>
    <w:rsid w:val="00B22943"/>
    <w:rsid w:val="00B54966"/>
    <w:rsid w:val="00B659DC"/>
    <w:rsid w:val="00B912EB"/>
    <w:rsid w:val="00C34FD8"/>
    <w:rsid w:val="00C622F5"/>
    <w:rsid w:val="00C66140"/>
    <w:rsid w:val="00CC28F4"/>
    <w:rsid w:val="00CC4CCD"/>
    <w:rsid w:val="00D06BA5"/>
    <w:rsid w:val="00D1445C"/>
    <w:rsid w:val="00D2434F"/>
    <w:rsid w:val="00D3115D"/>
    <w:rsid w:val="00D72D2C"/>
    <w:rsid w:val="00DC7EA7"/>
    <w:rsid w:val="00DD2B03"/>
    <w:rsid w:val="00DD6B4A"/>
    <w:rsid w:val="00E12B17"/>
    <w:rsid w:val="00E53EB3"/>
    <w:rsid w:val="00E8181B"/>
    <w:rsid w:val="00EA2EFE"/>
    <w:rsid w:val="00EC55DA"/>
    <w:rsid w:val="00F2682C"/>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49ABB249-CA75-426D-AF4F-B005053B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Solo Instalar</cp:lastModifiedBy>
  <cp:revision>2</cp:revision>
  <cp:lastPrinted>2018-09-18T09:29:00Z</cp:lastPrinted>
  <dcterms:created xsi:type="dcterms:W3CDTF">2019-09-18T12:04:00Z</dcterms:created>
  <dcterms:modified xsi:type="dcterms:W3CDTF">2019-09-18T12:04:00Z</dcterms:modified>
</cp:coreProperties>
</file>