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5491" w:rsidRPr="007256DD" w:rsidRDefault="00335491" w:rsidP="00335491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97B4" wp14:editId="5622D005">
                <wp:simplePos x="0" y="0"/>
                <wp:positionH relativeFrom="column">
                  <wp:posOffset>41910</wp:posOffset>
                </wp:positionH>
                <wp:positionV relativeFrom="paragraph">
                  <wp:posOffset>12700</wp:posOffset>
                </wp:positionV>
                <wp:extent cx="5929630" cy="683895"/>
                <wp:effectExtent l="12700" t="12700" r="13970" b="1460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683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491" w:rsidRPr="00CC1211" w:rsidRDefault="00335491" w:rsidP="00335491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Memoria</w:t>
                            </w:r>
                          </w:p>
                          <w:p w:rsidR="00335491" w:rsidRPr="00CC1211" w:rsidRDefault="00335491" w:rsidP="00335491">
                            <w:pPr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CC1211">
                              <w:rPr>
                                <w:b/>
                                <w:smallCaps/>
                              </w:rPr>
                              <w:t xml:space="preserve">Línea </w:t>
                            </w:r>
                            <w:r>
                              <w:rPr>
                                <w:b/>
                                <w:smallCaps/>
                              </w:rPr>
                              <w:t>1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, Acción </w:t>
                            </w:r>
                            <w:r>
                              <w:rPr>
                                <w:b/>
                                <w:smallCaps/>
                              </w:rPr>
                              <w:t>12</w:t>
                            </w:r>
                            <w:r w:rsidRPr="00CC1211">
                              <w:rPr>
                                <w:b/>
                                <w:smallCaps/>
                              </w:rPr>
                              <w:t xml:space="preserve">: Apoyo a la </w:t>
                            </w:r>
                            <w:r>
                              <w:rPr>
                                <w:b/>
                                <w:smallCaps/>
                              </w:rPr>
                              <w:t>innovación y las buenas prácticas docentes</w:t>
                            </w:r>
                          </w:p>
                          <w:p w:rsidR="00335491" w:rsidRPr="006D04E7" w:rsidRDefault="00335491" w:rsidP="00335491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 w:rsidRPr="006D04E7">
                              <w:rPr>
                                <w:smallCaps/>
                              </w:rPr>
                              <w:t>A</w:t>
                            </w:r>
                            <w:r>
                              <w:rPr>
                                <w:smallCaps/>
                              </w:rPr>
                              <w:t>cción sectorial 123</w:t>
                            </w:r>
                            <w:r w:rsidRPr="006D04E7">
                              <w:rPr>
                                <w:smallCaps/>
                              </w:rPr>
                              <w:t xml:space="preserve"> – </w:t>
                            </w:r>
                            <w:r>
                              <w:rPr>
                                <w:smallCaps/>
                              </w:rPr>
                              <w:t>Premios al profesorado</w:t>
                            </w:r>
                          </w:p>
                          <w:p w:rsidR="00335491" w:rsidRPr="006D04E7" w:rsidRDefault="00335491" w:rsidP="00335491">
                            <w:pPr>
                              <w:rPr>
                                <w:smallCaps/>
                              </w:rPr>
                            </w:pPr>
                          </w:p>
                          <w:p w:rsidR="00335491" w:rsidRDefault="00335491" w:rsidP="00335491"/>
                          <w:p w:rsidR="00335491" w:rsidRDefault="00335491" w:rsidP="00335491"/>
                          <w:p w:rsidR="00335491" w:rsidRDefault="00335491" w:rsidP="00335491"/>
                          <w:p w:rsidR="00335491" w:rsidRPr="00C82B11" w:rsidRDefault="00335491" w:rsidP="003354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2297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3pt;margin-top:1pt;width:466.9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" filled="f" strokecolor="#4472c4 [3204]" strokeweight="2pt">
                <v:textbox>
                  <w:txbxContent>
                    <w:p w:rsidR="00335491" w:rsidRPr="00CC1211" w:rsidRDefault="00335491" w:rsidP="00335491">
                      <w:pPr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Memoria</w:t>
                      </w:r>
                    </w:p>
                    <w:p w:rsidR="00335491" w:rsidRPr="00CC1211" w:rsidRDefault="00335491" w:rsidP="00335491">
                      <w:pPr>
                        <w:jc w:val="center"/>
                        <w:rPr>
                          <w:b/>
                          <w:smallCaps/>
                        </w:rPr>
                      </w:pPr>
                      <w:r w:rsidRPr="00CC1211">
                        <w:rPr>
                          <w:b/>
                          <w:smallCaps/>
                        </w:rPr>
                        <w:t xml:space="preserve">Línea </w:t>
                      </w:r>
                      <w:r>
                        <w:rPr>
                          <w:b/>
                          <w:smallCaps/>
                        </w:rPr>
                        <w:t>1</w:t>
                      </w:r>
                      <w:r w:rsidRPr="00CC1211">
                        <w:rPr>
                          <w:b/>
                          <w:smallCaps/>
                        </w:rPr>
                        <w:t xml:space="preserve">, Acción </w:t>
                      </w:r>
                      <w:r>
                        <w:rPr>
                          <w:b/>
                          <w:smallCaps/>
                        </w:rPr>
                        <w:t>12</w:t>
                      </w:r>
                      <w:r w:rsidRPr="00CC1211">
                        <w:rPr>
                          <w:b/>
                          <w:smallCaps/>
                        </w:rPr>
                        <w:t xml:space="preserve">: Apoyo a la </w:t>
                      </w:r>
                      <w:r>
                        <w:rPr>
                          <w:b/>
                          <w:smallCaps/>
                        </w:rPr>
                        <w:t>innovación y las buenas prácticas docentes</w:t>
                      </w:r>
                    </w:p>
                    <w:p w:rsidR="00335491" w:rsidRPr="006D04E7" w:rsidRDefault="00335491" w:rsidP="00335491">
                      <w:pPr>
                        <w:jc w:val="center"/>
                        <w:rPr>
                          <w:smallCaps/>
                        </w:rPr>
                      </w:pPr>
                      <w:r w:rsidRPr="006D04E7">
                        <w:rPr>
                          <w:smallCaps/>
                        </w:rPr>
                        <w:t>A</w:t>
                      </w:r>
                      <w:r>
                        <w:rPr>
                          <w:smallCaps/>
                        </w:rPr>
                        <w:t>cción sectorial 123</w:t>
                      </w:r>
                      <w:r w:rsidRPr="006D04E7">
                        <w:rPr>
                          <w:smallCaps/>
                        </w:rPr>
                        <w:t xml:space="preserve"> – </w:t>
                      </w:r>
                      <w:r>
                        <w:rPr>
                          <w:smallCaps/>
                        </w:rPr>
                        <w:t>Premios al profesorado</w:t>
                      </w:r>
                    </w:p>
                    <w:p w:rsidR="00335491" w:rsidRPr="006D04E7" w:rsidRDefault="00335491" w:rsidP="00335491">
                      <w:pPr>
                        <w:rPr>
                          <w:smallCaps/>
                        </w:rPr>
                      </w:pPr>
                    </w:p>
                    <w:p w:rsidR="00335491" w:rsidRDefault="00335491" w:rsidP="00335491"/>
                    <w:p w:rsidR="00335491" w:rsidRDefault="00335491" w:rsidP="00335491"/>
                    <w:p w:rsidR="00335491" w:rsidRDefault="00335491" w:rsidP="00335491"/>
                    <w:p w:rsidR="00335491" w:rsidRPr="00C82B11" w:rsidRDefault="00335491" w:rsidP="0033549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decuadrcula4-nfasis5"/>
        <w:tblW w:w="9351" w:type="dxa"/>
        <w:tblLook w:val="0220" w:firstRow="1" w:lastRow="0" w:firstColumn="0" w:lastColumn="0" w:noHBand="1" w:noVBand="0"/>
      </w:tblPr>
      <w:tblGrid>
        <w:gridCol w:w="2830"/>
        <w:gridCol w:w="1505"/>
        <w:gridCol w:w="2039"/>
        <w:gridCol w:w="2977"/>
      </w:tblGrid>
      <w:tr w:rsidR="00335491" w:rsidRPr="002C61E9" w:rsidTr="00EC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Datos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</w:t>
            </w: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ersonales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del docente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Apellidos y Nombre: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Dirección Postal: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Localidad: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Teléfono:</w:t>
            </w:r>
          </w:p>
        </w:tc>
        <w:tc>
          <w:tcPr>
            <w:tcW w:w="1505" w:type="dxa"/>
            <w:tcBorders>
              <w:righ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2977" w:type="dxa"/>
            <w:tcBorders>
              <w:left w:val="single" w:sz="4" w:space="0" w:color="8EAADB" w:themeColor="accent1" w:themeTint="99"/>
            </w:tcBorders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Categoría profesional: 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Departamento: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5491" w:rsidRPr="002C61E9" w:rsidTr="00EC3E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Área de conocimiento:</w:t>
            </w:r>
          </w:p>
        </w:tc>
        <w:tc>
          <w:tcPr>
            <w:tcW w:w="6521" w:type="dxa"/>
            <w:gridSpan w:val="3"/>
          </w:tcPr>
          <w:p w:rsidR="00335491" w:rsidRPr="002C61E9" w:rsidRDefault="00335491" w:rsidP="00EC3EF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35491" w:rsidRDefault="00335491" w:rsidP="00335491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35491" w:rsidRDefault="00335491" w:rsidP="00335491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Modalidad a la que se opta:</w:t>
      </w:r>
    </w:p>
    <w:p w:rsidR="00335491" w:rsidRDefault="00335491" w:rsidP="00335491">
      <w:pPr>
        <w:tabs>
          <w:tab w:val="right" w:leader="underscore" w:pos="9639"/>
        </w:tabs>
        <w:ind w:left="567"/>
        <w:rPr>
          <w:rFonts w:asciiTheme="majorHAnsi" w:hAnsiTheme="majorHAnsi" w:cstheme="maj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AC52C3">
        <w:rPr>
          <w:rFonts w:asciiTheme="majorHAnsi" w:hAnsiTheme="majorHAnsi" w:cstheme="majorHAnsi"/>
          <w:sz w:val="20"/>
          <w:szCs w:val="20"/>
        </w:rPr>
      </w:r>
      <w:r w:rsidR="00AC52C3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   General</w:t>
      </w:r>
    </w:p>
    <w:p w:rsidR="0068308D" w:rsidRPr="0068308D" w:rsidRDefault="00335491" w:rsidP="0068308D">
      <w:pPr>
        <w:tabs>
          <w:tab w:val="right" w:leader="underscore" w:pos="9639"/>
        </w:tabs>
        <w:ind w:left="567"/>
        <w:rPr>
          <w:rFonts w:asciiTheme="majorHAnsi" w:hAnsiTheme="majorHAnsi" w:cstheme="majorHAnsi"/>
          <w:sz w:val="20"/>
          <w:szCs w:val="20"/>
        </w:rPr>
      </w:pPr>
      <w:r w:rsidRPr="00B81F7A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="00AC52C3">
        <w:rPr>
          <w:rFonts w:asciiTheme="majorHAnsi" w:hAnsiTheme="majorHAnsi" w:cstheme="majorHAnsi"/>
          <w:sz w:val="20"/>
          <w:szCs w:val="20"/>
        </w:rPr>
      </w:r>
      <w:r w:rsidR="00AC52C3">
        <w:rPr>
          <w:rFonts w:asciiTheme="majorHAnsi" w:hAnsiTheme="majorHAnsi" w:cstheme="majorHAnsi"/>
          <w:sz w:val="20"/>
          <w:szCs w:val="20"/>
        </w:rPr>
        <w:fldChar w:fldCharType="separate"/>
      </w:r>
      <w:r w:rsidRPr="00B81F7A">
        <w:rPr>
          <w:rFonts w:asciiTheme="majorHAnsi" w:hAnsiTheme="majorHAnsi" w:cstheme="majorHAnsi"/>
          <w:sz w:val="20"/>
          <w:szCs w:val="20"/>
        </w:rPr>
        <w:fldChar w:fldCharType="end"/>
      </w:r>
      <w:r>
        <w:rPr>
          <w:rFonts w:asciiTheme="majorHAnsi" w:hAnsiTheme="majorHAnsi" w:cstheme="majorHAnsi"/>
          <w:sz w:val="20"/>
          <w:szCs w:val="20"/>
        </w:rPr>
        <w:t xml:space="preserve">    Docentes menores de 35 años</w:t>
      </w:r>
    </w:p>
    <w:p w:rsidR="0068308D" w:rsidRDefault="0068308D" w:rsidP="00335491">
      <w:pPr>
        <w:tabs>
          <w:tab w:val="right" w:leader="underscore" w:pos="9639"/>
        </w:tabs>
        <w:ind w:left="567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decuadrcula4-nfasis5"/>
        <w:tblW w:w="9351" w:type="dxa"/>
        <w:tblLook w:val="0220" w:firstRow="1" w:lastRow="0" w:firstColumn="0" w:lastColumn="0" w:noHBand="1" w:noVBand="0"/>
      </w:tblPr>
      <w:tblGrid>
        <w:gridCol w:w="9351"/>
      </w:tblGrid>
      <w:tr w:rsidR="00335491" w:rsidRPr="002C61E9" w:rsidTr="00877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:rsidR="00335491" w:rsidRPr="002C61E9" w:rsidRDefault="00335491" w:rsidP="00EC3EF0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Explicación / justificación de los méritos docentes alegados en el currículum</w:t>
            </w:r>
            <w:r w:rsidR="0058471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(Extensión máxima 5 páginas)</w:t>
            </w:r>
          </w:p>
        </w:tc>
      </w:tr>
      <w:tr w:rsidR="00335491" w:rsidRPr="002C61E9" w:rsidTr="003354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shd w:val="clear" w:color="auto" w:fill="auto"/>
          </w:tcPr>
          <w:p w:rsidR="00D520BA" w:rsidRDefault="00D520BA" w:rsidP="0068308D">
            <w:pPr>
              <w:jc w:val="both"/>
              <w:rPr>
                <w:b/>
                <w:bCs/>
                <w:color w:val="A6A6A6" w:themeColor="background1" w:themeShade="A6"/>
                <w:lang w:val="es-ES"/>
              </w:rPr>
            </w:pPr>
          </w:p>
          <w:p w:rsidR="00335491" w:rsidRPr="00D520BA" w:rsidRDefault="00D520BA" w:rsidP="0068308D">
            <w:pPr>
              <w:jc w:val="both"/>
              <w:rPr>
                <w:b/>
                <w:bCs/>
                <w:color w:val="A6A6A6" w:themeColor="background1" w:themeShade="A6"/>
                <w:lang w:val="es-ES"/>
              </w:rPr>
            </w:pPr>
            <w:r>
              <w:rPr>
                <w:b/>
                <w:bCs/>
                <w:color w:val="A6A6A6" w:themeColor="background1" w:themeShade="A6"/>
                <w:lang w:val="es-ES"/>
              </w:rPr>
              <w:t xml:space="preserve">A modo de guía, se indican a continuación los aspectos a </w:t>
            </w:r>
            <w:r w:rsidR="001B5458" w:rsidRPr="00D520BA">
              <w:rPr>
                <w:b/>
                <w:bCs/>
                <w:color w:val="A6A6A6" w:themeColor="background1" w:themeShade="A6"/>
                <w:lang w:val="es-ES"/>
              </w:rPr>
              <w:t>desarrolla</w:t>
            </w:r>
            <w:r>
              <w:rPr>
                <w:b/>
                <w:bCs/>
                <w:color w:val="A6A6A6" w:themeColor="background1" w:themeShade="A6"/>
                <w:lang w:val="es-ES"/>
              </w:rPr>
              <w:t>r</w:t>
            </w:r>
            <w:r w:rsidR="00E77A8E">
              <w:rPr>
                <w:b/>
                <w:bCs/>
                <w:color w:val="A6A6A6" w:themeColor="background1" w:themeShade="A6"/>
                <w:lang w:val="es-ES"/>
              </w:rPr>
              <w:t xml:space="preserve">, basados en los </w:t>
            </w:r>
            <w:r>
              <w:rPr>
                <w:b/>
                <w:bCs/>
                <w:color w:val="A6A6A6" w:themeColor="background1" w:themeShade="A6"/>
                <w:lang w:val="es-ES"/>
              </w:rPr>
              <w:t>criterios de concesión, a</w:t>
            </w:r>
            <w:r w:rsidRPr="00D520BA">
              <w:rPr>
                <w:b/>
                <w:bCs/>
                <w:color w:val="A6A6A6" w:themeColor="background1" w:themeShade="A6"/>
                <w:lang w:val="es-ES"/>
              </w:rPr>
              <w:t>rt. 6 de la convocatoria</w:t>
            </w:r>
            <w:r>
              <w:rPr>
                <w:b/>
                <w:bCs/>
                <w:color w:val="A6A6A6" w:themeColor="background1" w:themeShade="A6"/>
                <w:lang w:val="es-ES"/>
              </w:rPr>
              <w:t xml:space="preserve"> -este texto puede borrarse o modificarse según proceda</w:t>
            </w:r>
            <w:r w:rsidRPr="00D520BA">
              <w:rPr>
                <w:b/>
                <w:bCs/>
                <w:color w:val="A6A6A6" w:themeColor="background1" w:themeShade="A6"/>
                <w:lang w:val="es-ES"/>
              </w:rPr>
              <w:t>)</w:t>
            </w:r>
            <w:r>
              <w:rPr>
                <w:b/>
                <w:bCs/>
                <w:color w:val="A6A6A6" w:themeColor="background1" w:themeShade="A6"/>
                <w:lang w:val="es-ES"/>
              </w:rPr>
              <w:t>:</w:t>
            </w:r>
          </w:p>
          <w:p w:rsidR="001B5458" w:rsidRPr="00D520BA" w:rsidRDefault="001B5458" w:rsidP="0068308D">
            <w:pPr>
              <w:jc w:val="both"/>
              <w:rPr>
                <w:b/>
                <w:bCs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Calidad docente y satisfacción del alumnado</w:t>
            </w:r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. Se considerará principalmente la puntuación obtenida por el docente en las encuestas realizadas por el alumnado. </w:t>
            </w:r>
          </w:p>
          <w:p w:rsidR="001B5458" w:rsidRPr="00D520BA" w:rsidRDefault="001B5458" w:rsidP="001B5458">
            <w:pPr>
              <w:pStyle w:val="Prrafodelista"/>
              <w:jc w:val="both"/>
              <w:rPr>
                <w:rFonts w:asciiTheme="majorHAnsi" w:hAnsiTheme="majorHAnsi"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Proyección docente en la sociedad</w:t>
            </w:r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. Se tendrá en cuenta la participación del docente en actividades relacionadas con la docencia fuera de la Universidad no retribuidas que muestren el interés por la proyección de la actividad docente.</w:t>
            </w:r>
          </w:p>
          <w:p w:rsidR="001B5458" w:rsidRPr="00D520BA" w:rsidRDefault="001B5458" w:rsidP="00D520BA">
            <w:pPr>
              <w:jc w:val="both"/>
              <w:rPr>
                <w:rFonts w:asciiTheme="majorHAnsi" w:hAnsiTheme="majorHAnsi"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Formación y reciclaje de conocimientos</w:t>
            </w:r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. Se valorará la participación en cursos de formación del PDI tanto en el marco del Plan de Formación del PDI de la UMA (histórico), como en otras instituciones educativas.</w:t>
            </w:r>
          </w:p>
          <w:p w:rsidR="001B5458" w:rsidRPr="00D520BA" w:rsidRDefault="001B5458" w:rsidP="001B5458">
            <w:pPr>
              <w:pStyle w:val="Prrafodelista"/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 xml:space="preserve">Innovación y </w:t>
            </w:r>
            <w:proofErr w:type="spellStart"/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TICs</w:t>
            </w:r>
            <w:proofErr w:type="spellEnd"/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. Se considerará la utilización innovadora del Campus Virtual o la implementación de otras técnicas docentes que involucren el empleo de nuevas tecnologías. </w:t>
            </w:r>
          </w:p>
          <w:p w:rsidR="001B5458" w:rsidRPr="00D520BA" w:rsidRDefault="001B5458" w:rsidP="00D520BA">
            <w:p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Número y evaluación de Proyectos de Innovación Educativa</w:t>
            </w:r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.</w:t>
            </w:r>
          </w:p>
          <w:p w:rsidR="001B5458" w:rsidRPr="00D520BA" w:rsidRDefault="001B5458" w:rsidP="001B5458">
            <w:pPr>
              <w:pStyle w:val="Prrafodelista"/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</w:p>
          <w:p w:rsidR="001B5458" w:rsidRPr="00D520BA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520BA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Internacionalización de la docencia</w:t>
            </w:r>
            <w:r w:rsidRPr="00D520BA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. Se tendrá en cuenta la proyección de la docencia fuera de la Universidad de Málaga, en particular, a través de la participación del docente en otras instituciones educativas a través de misiones docentes internacionales (programa Erasmus+) y nacionales, o la pertenencia a redes docentes que supongan una colaboración activa en iniciativas docentes con profesores de otras instituciones. </w:t>
            </w:r>
          </w:p>
          <w:p w:rsidR="00D520BA" w:rsidRPr="00D520BA" w:rsidRDefault="00D520BA" w:rsidP="00D520BA">
            <w:pPr>
              <w:pStyle w:val="Prrafodelista"/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</w:p>
          <w:p w:rsidR="001B5458" w:rsidRPr="00DA4EC5" w:rsidRDefault="001B5458" w:rsidP="001B545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</w:pPr>
            <w:r w:rsidRPr="00DA4EC5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Elaboración de materiales docentes innovadores</w:t>
            </w:r>
            <w:r w:rsidR="00DA4EC5">
              <w:rPr>
                <w:rFonts w:asciiTheme="majorHAnsi" w:hAnsiTheme="majorHAnsi"/>
                <w:b/>
                <w:bCs/>
                <w:i/>
                <w:color w:val="A6A6A6" w:themeColor="background1" w:themeShade="A6"/>
                <w:lang w:val="es-ES"/>
              </w:rPr>
              <w:t>.</w:t>
            </w:r>
          </w:p>
          <w:p w:rsidR="00D520BA" w:rsidRPr="00BE51CF" w:rsidRDefault="00BE51CF" w:rsidP="00D520B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bCs/>
                <w:color w:val="BFBFBF" w:themeColor="background1" w:themeShade="BF"/>
                <w:lang w:val="es-ES"/>
              </w:rPr>
            </w:pPr>
            <w:r w:rsidRPr="00BE51CF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lastRenderedPageBreak/>
              <w:t xml:space="preserve">Otros aspectos a destacar que justifiquen la </w:t>
            </w:r>
            <w:r w:rsidR="004A26F5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solicitud</w:t>
            </w:r>
            <w:r w:rsidR="00DA4EC5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 (imparti</w:t>
            </w:r>
            <w:r w:rsidR="00543A73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ción</w:t>
            </w:r>
            <w:r w:rsidR="00DA4EC5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 docencia en una lengua extranjera</w:t>
            </w:r>
            <w:r w:rsidR="00562B90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 en asignaturas que no son de carácter lingüístico</w:t>
            </w:r>
            <w:r w:rsidR="00DA4EC5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, participación en Grupos de Orientación Universitaria, etc</w:t>
            </w:r>
            <w:r w:rsidRPr="00BE51CF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.</w:t>
            </w:r>
            <w:r w:rsidR="00DA4EC5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>).</w:t>
            </w:r>
            <w:r w:rsidRPr="00BE51CF">
              <w:rPr>
                <w:rFonts w:asciiTheme="majorHAnsi" w:hAnsiTheme="majorHAnsi"/>
                <w:b/>
                <w:bCs/>
                <w:color w:val="A6A6A6" w:themeColor="background1" w:themeShade="A6"/>
                <w:lang w:val="es-ES"/>
              </w:rPr>
              <w:t xml:space="preserve"> </w:t>
            </w:r>
          </w:p>
          <w:p w:rsidR="00D520BA" w:rsidRPr="00D520BA" w:rsidRDefault="00D520BA" w:rsidP="00D520BA">
            <w:pPr>
              <w:jc w:val="both"/>
              <w:rPr>
                <w:rFonts w:asciiTheme="majorHAnsi" w:hAnsiTheme="majorHAnsi"/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D520BA" w:rsidRDefault="00335491" w:rsidP="0068308D">
            <w:pPr>
              <w:jc w:val="both"/>
              <w:rPr>
                <w:b/>
                <w:bCs/>
                <w:color w:val="0D0D0D" w:themeColor="text1" w:themeTint="F2"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  <w:p w:rsidR="00335491" w:rsidRPr="00335491" w:rsidRDefault="00335491" w:rsidP="0068308D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:rsidR="00335491" w:rsidRDefault="00335491" w:rsidP="00335491">
      <w:pPr>
        <w:rPr>
          <w:rFonts w:ascii="Arial" w:hAnsi="Arial" w:cs="Arial"/>
          <w:b/>
          <w:bCs/>
          <w:sz w:val="20"/>
          <w:szCs w:val="20"/>
        </w:rPr>
      </w:pPr>
    </w:p>
    <w:p w:rsidR="00335491" w:rsidRDefault="00335491" w:rsidP="00335491">
      <w:pPr>
        <w:rPr>
          <w:rFonts w:asciiTheme="majorHAnsi" w:hAnsiTheme="majorHAnsi" w:cstheme="majorHAnsi"/>
          <w:b/>
          <w:bCs/>
        </w:rPr>
      </w:pPr>
    </w:p>
    <w:p w:rsidR="00335491" w:rsidRPr="00C92702" w:rsidRDefault="00335491" w:rsidP="00335491">
      <w:pPr>
        <w:jc w:val="both"/>
        <w:rPr>
          <w:rFonts w:asciiTheme="minorHAnsi" w:hAnsiTheme="minorHAnsi" w:cstheme="majorHAnsi"/>
          <w:bCs/>
          <w:sz w:val="20"/>
          <w:szCs w:val="20"/>
        </w:rPr>
      </w:pPr>
      <w:r>
        <w:rPr>
          <w:rFonts w:asciiTheme="minorHAnsi" w:hAnsiTheme="minorHAnsi" w:cstheme="majorHAnsi"/>
          <w:b/>
          <w:bCs/>
          <w:sz w:val="20"/>
          <w:szCs w:val="20"/>
        </w:rPr>
        <w:t>La presente memoria deberá enviarse, junto con el formulario de solicitud y el currículum docente, a través del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gestor de peticiones del I PPID </w:t>
      </w:r>
      <w:r>
        <w:rPr>
          <w:rFonts w:asciiTheme="minorHAnsi" w:hAnsiTheme="minorHAnsi" w:cstheme="majorHAnsi"/>
          <w:b/>
          <w:bCs/>
          <w:sz w:val="20"/>
          <w:szCs w:val="20"/>
        </w:rPr>
        <w:t>disponible en la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dirección</w:t>
      </w:r>
      <w:r w:rsidRPr="00C92702">
        <w:rPr>
          <w:rFonts w:asciiTheme="minorHAnsi" w:hAnsiTheme="minorHAnsi" w:cstheme="majorHAnsi"/>
          <w:bCs/>
          <w:sz w:val="20"/>
          <w:szCs w:val="20"/>
        </w:rPr>
        <w:t xml:space="preserve">: </w:t>
      </w:r>
      <w:hyperlink r:id="rId7" w:history="1">
        <w:r w:rsidRPr="001E6348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>
        <w:rPr>
          <w:rFonts w:asciiTheme="minorHAnsi" w:hAnsiTheme="minorHAnsi" w:cstheme="majorHAnsi"/>
          <w:bCs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bCs/>
          <w:sz w:val="20"/>
          <w:szCs w:val="20"/>
        </w:rPr>
        <w:t>(acceso identificado DUMA, operativo desde cualquier ordenador con conexión a internet, sin tener que estar dentro de la red de la UMA).</w:t>
      </w:r>
    </w:p>
    <w:p w:rsidR="00335491" w:rsidRDefault="00335491" w:rsidP="00335491">
      <w:pPr>
        <w:jc w:val="both"/>
        <w:rPr>
          <w:rFonts w:ascii="Calibri" w:hAnsi="Calibri" w:cs="Tahoma"/>
          <w:sz w:val="16"/>
          <w:szCs w:val="16"/>
        </w:rPr>
      </w:pPr>
    </w:p>
    <w:p w:rsidR="00335491" w:rsidRPr="001B5D84" w:rsidRDefault="00335491" w:rsidP="00335491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En cumplimiento de lo dispuesto en la Ley Orgánica 15/1999, de 13 de Diciembre, de Protección de Datos de Carácter Personal,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/ayudas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concedida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s por la Universidad de Málaga con cargo al presupuesto del I PPID. De acuerdo con lo previsto en la citada Ley Orgánica, puede ejercitar los derechos de acceso, rectificación, cancelación y oposición dirigiéndose al Vicerrectorado de Estudios de Grado.</w:t>
      </w:r>
    </w:p>
    <w:p w:rsidR="00335491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En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sz w:val="20"/>
          <w:szCs w:val="20"/>
        </w:rPr>
        <w:t>M</w:t>
      </w:r>
      <w:r w:rsidRPr="00B81F7A">
        <w:rPr>
          <w:rFonts w:asciiTheme="majorHAnsi" w:hAnsiTheme="majorHAnsi" w:cstheme="majorHAnsi"/>
          <w:bCs/>
          <w:sz w:val="20"/>
          <w:szCs w:val="20"/>
        </w:rPr>
        <w:t>álaga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a                de                </w:t>
      </w:r>
      <w:proofErr w:type="spellStart"/>
      <w:r w:rsidRPr="00B81F7A">
        <w:rPr>
          <w:rFonts w:asciiTheme="majorHAnsi" w:hAnsiTheme="majorHAnsi" w:cstheme="majorHAnsi"/>
          <w:bCs/>
          <w:sz w:val="20"/>
          <w:szCs w:val="20"/>
        </w:rPr>
        <w:t>de</w:t>
      </w:r>
      <w:proofErr w:type="spellEnd"/>
      <w:r w:rsidRPr="00B81F7A">
        <w:rPr>
          <w:rFonts w:asciiTheme="majorHAnsi" w:hAnsiTheme="majorHAnsi" w:cstheme="majorHAnsi"/>
          <w:bCs/>
          <w:sz w:val="20"/>
          <w:szCs w:val="20"/>
        </w:rPr>
        <w:t xml:space="preserve"> 2018</w:t>
      </w:r>
    </w:p>
    <w:p w:rsidR="00335491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</w:p>
    <w:p w:rsidR="00335491" w:rsidRPr="00B81F7A" w:rsidRDefault="00335491" w:rsidP="00335491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</w:rPr>
        <w:t>Fdo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</w:p>
    <w:p w:rsidR="00335491" w:rsidRDefault="00335491"/>
    <w:sectPr w:rsidR="00335491" w:rsidSect="002C61E9">
      <w:headerReference w:type="default" r:id="rId8"/>
      <w:footerReference w:type="even" r:id="rId9"/>
      <w:footerReference w:type="default" r:id="rId10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C3" w:rsidRDefault="00AC52C3">
      <w:r>
        <w:separator/>
      </w:r>
    </w:p>
  </w:endnote>
  <w:endnote w:type="continuationSeparator" w:id="0">
    <w:p w:rsidR="00AC52C3" w:rsidRDefault="00AC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Grande">
    <w:altName w:val="Cambria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5F8F" w:rsidRDefault="0068308D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95F8F" w:rsidRDefault="00AC52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F" w:rsidRDefault="00AC52C3" w:rsidP="00B90765">
    <w:pPr>
      <w:pStyle w:val="Piedepgina"/>
      <w:framePr w:wrap="none" w:vAnchor="text" w:hAnchor="margin" w:xAlign="center" w:y="1"/>
      <w:rPr>
        <w:rStyle w:val="Nmerodepgina"/>
      </w:rPr>
    </w:pPr>
  </w:p>
  <w:p w:rsidR="00A95F8F" w:rsidRDefault="0068308D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Sra. Vicerrectora de Personal Docente e Investigador de la Universidad de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C3" w:rsidRDefault="00AC52C3">
      <w:r>
        <w:separator/>
      </w:r>
    </w:p>
  </w:footnote>
  <w:footnote w:type="continuationSeparator" w:id="0">
    <w:p w:rsidR="00AC52C3" w:rsidRDefault="00AC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58" w:rsidRDefault="0068308D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1210D969" wp14:editId="2B715E19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F5496" w:themeColor="accent1" w:themeShade="BF"/>
        <w:sz w:val="20"/>
        <w:szCs w:val="20"/>
        <w:lang w:val="es-ES"/>
      </w:rPr>
      <w:t xml:space="preserve">  </w:t>
    </w:r>
  </w:p>
  <w:p w:rsidR="00304B58" w:rsidRDefault="0068308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I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:rsidR="00675A4D" w:rsidRPr="00F73EC3" w:rsidRDefault="0068308D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Personal Docente e Investigador</w:t>
    </w:r>
  </w:p>
  <w:p w:rsidR="00304B58" w:rsidRDefault="0068308D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___________________________________</w:t>
    </w:r>
  </w:p>
  <w:p w:rsidR="00A95F8F" w:rsidRPr="00304B58" w:rsidRDefault="00AC52C3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C24"/>
    <w:multiLevelType w:val="hybridMultilevel"/>
    <w:tmpl w:val="9D5A323A"/>
    <w:lvl w:ilvl="0" w:tplc="E57C621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91"/>
    <w:rsid w:val="001B5458"/>
    <w:rsid w:val="00276CB7"/>
    <w:rsid w:val="002F51F8"/>
    <w:rsid w:val="00335491"/>
    <w:rsid w:val="004A26F5"/>
    <w:rsid w:val="00543A73"/>
    <w:rsid w:val="00562B90"/>
    <w:rsid w:val="0058471F"/>
    <w:rsid w:val="0068308D"/>
    <w:rsid w:val="009345FC"/>
    <w:rsid w:val="00AC52C3"/>
    <w:rsid w:val="00BE51CF"/>
    <w:rsid w:val="00CC602A"/>
    <w:rsid w:val="00D12766"/>
    <w:rsid w:val="00D520BA"/>
    <w:rsid w:val="00DA4EC5"/>
    <w:rsid w:val="00E77A8E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1799-8F7E-B940-9D28-51CDBDB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491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54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549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3549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491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35491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35491"/>
  </w:style>
  <w:style w:type="table" w:styleId="Tabladecuadrcula4-nfasis5">
    <w:name w:val="Grid Table 4 Accent 5"/>
    <w:basedOn w:val="Tablanormal"/>
    <w:uiPriority w:val="49"/>
    <w:rsid w:val="00335491"/>
    <w:rPr>
      <w:lang w:val="es-ES_tradn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1B5458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j.uma.es/ppidocencia/peticiones/nue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UMA</cp:lastModifiedBy>
  <cp:revision>2</cp:revision>
  <dcterms:created xsi:type="dcterms:W3CDTF">2018-11-12T16:24:00Z</dcterms:created>
  <dcterms:modified xsi:type="dcterms:W3CDTF">2018-11-12T16:24:00Z</dcterms:modified>
</cp:coreProperties>
</file>